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90E0C78">
      <w:pPr>
        <w:bidi w:val="0"/>
        <w:rPr>
          <w:rFonts w:hint="eastAsia"/>
          <w:color w:val="0000FF"/>
          <w:lang w:val="en-US" w:eastAsia="zh-CN"/>
        </w:rPr>
      </w:pPr>
      <w:bookmarkStart w:id="0" w:name="_Toc13323"/>
      <w:bookmarkStart w:id="1" w:name="_Toc31988"/>
    </w:p>
    <w:p w14:paraId="600BD584">
      <w:pPr>
        <w:bidi w:val="0"/>
        <w:rPr>
          <w:rFonts w:hint="eastAsia"/>
          <w:color w:val="0000FF"/>
          <w:lang w:val="en-US" w:eastAsia="zh-CN"/>
        </w:rPr>
      </w:pPr>
    </w:p>
    <w:p w14:paraId="524E2CC1">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宋体" w:hAnsi="宋体" w:eastAsia="宋体" w:cs="宋体"/>
          <w:b/>
          <w:bCs/>
          <w:color w:val="0000FF"/>
          <w:sz w:val="28"/>
          <w:szCs w:val="28"/>
          <w:lang w:val="en-US" w:eastAsia="zh-CN"/>
        </w:rPr>
      </w:pPr>
    </w:p>
    <w:bookmarkEnd w:id="0"/>
    <w:bookmarkEnd w:id="1"/>
    <w:p w14:paraId="59837BA6">
      <w:pPr>
        <w:keepNext w:val="0"/>
        <w:keepLines w:val="0"/>
        <w:pageBreakBefore w:val="0"/>
        <w:widowControl w:val="0"/>
        <w:kinsoku/>
        <w:wordWrap/>
        <w:overflowPunct/>
        <w:topLinePunct w:val="0"/>
        <w:autoSpaceDE/>
        <w:autoSpaceDN/>
        <w:bidi w:val="0"/>
        <w:adjustRightInd/>
        <w:snapToGrid/>
        <w:spacing w:after="163" w:afterLines="50" w:line="360" w:lineRule="auto"/>
        <w:ind w:firstLine="0" w:firstLineChars="0"/>
        <w:jc w:val="center"/>
        <w:textAlignment w:val="auto"/>
        <w:rPr>
          <w:rFonts w:hint="eastAsia" w:ascii="宋体" w:hAnsi="宋体" w:eastAsia="宋体" w:cs="宋体"/>
          <w:b/>
          <w:bCs/>
          <w:color w:val="auto"/>
          <w:sz w:val="36"/>
          <w:szCs w:val="36"/>
          <w:lang w:val="en-US" w:eastAsia="zh-CN"/>
        </w:rPr>
      </w:pPr>
      <w:r>
        <w:rPr>
          <w:rFonts w:hint="eastAsia" w:ascii="宋体" w:hAnsi="宋体" w:eastAsia="宋体" w:cs="宋体"/>
          <w:b/>
          <w:bCs/>
          <w:color w:val="auto"/>
          <w:sz w:val="36"/>
          <w:szCs w:val="36"/>
          <w:lang w:val="en-US" w:eastAsia="zh-CN"/>
        </w:rPr>
        <w:t>乙炔生产工厂和充装站一期项目</w:t>
      </w:r>
    </w:p>
    <w:p w14:paraId="78BC24F7">
      <w:pPr>
        <w:keepNext w:val="0"/>
        <w:keepLines w:val="0"/>
        <w:pageBreakBefore w:val="0"/>
        <w:widowControl w:val="0"/>
        <w:kinsoku/>
        <w:wordWrap/>
        <w:overflowPunct/>
        <w:topLinePunct w:val="0"/>
        <w:autoSpaceDE/>
        <w:autoSpaceDN/>
        <w:bidi w:val="0"/>
        <w:adjustRightInd/>
        <w:snapToGrid/>
        <w:spacing w:after="163" w:afterLines="50" w:line="360" w:lineRule="auto"/>
        <w:ind w:firstLine="0" w:firstLineChars="0"/>
        <w:jc w:val="center"/>
        <w:textAlignment w:val="auto"/>
        <w:rPr>
          <w:rFonts w:hint="eastAsia" w:ascii="黑体" w:hAnsi="黑体" w:eastAsia="黑体"/>
          <w:b w:val="0"/>
          <w:bCs/>
          <w:color w:val="auto"/>
          <w:sz w:val="72"/>
          <w:szCs w:val="72"/>
          <w:lang w:val="en-US" w:eastAsia="zh-CN"/>
        </w:rPr>
      </w:pPr>
      <w:r>
        <w:rPr>
          <w:rFonts w:hint="eastAsia" w:ascii="黑体" w:hAnsi="黑体" w:eastAsia="黑体"/>
          <w:b w:val="0"/>
          <w:bCs/>
          <w:color w:val="auto"/>
          <w:sz w:val="72"/>
          <w:szCs w:val="72"/>
        </w:rPr>
        <w:t>水土保持</w:t>
      </w:r>
      <w:bookmarkStart w:id="2" w:name="_Toc157804959"/>
      <w:bookmarkStart w:id="3" w:name="_Toc157804269"/>
      <w:r>
        <w:rPr>
          <w:rFonts w:hint="eastAsia" w:ascii="黑体" w:hAnsi="黑体" w:eastAsia="黑体"/>
          <w:b w:val="0"/>
          <w:bCs/>
          <w:color w:val="auto"/>
          <w:sz w:val="72"/>
          <w:szCs w:val="72"/>
          <w:lang w:eastAsia="zh-CN"/>
        </w:rPr>
        <w:t>方案报告表</w:t>
      </w:r>
    </w:p>
    <w:bookmarkEnd w:id="2"/>
    <w:bookmarkEnd w:id="3"/>
    <w:p w14:paraId="4A3A34BD">
      <w:pPr>
        <w:pStyle w:val="11"/>
        <w:spacing w:line="720" w:lineRule="auto"/>
        <w:jc w:val="center"/>
        <w:rPr>
          <w:rFonts w:hint="eastAsia"/>
          <w:b/>
          <w:bCs/>
          <w:color w:val="auto"/>
          <w:sz w:val="32"/>
          <w:szCs w:val="32"/>
        </w:rPr>
      </w:pPr>
    </w:p>
    <w:p w14:paraId="00BAA6C2">
      <w:pPr>
        <w:rPr>
          <w:rFonts w:hint="eastAsia"/>
          <w:color w:val="0000FF"/>
        </w:rPr>
      </w:pPr>
    </w:p>
    <w:p w14:paraId="6D3801A9">
      <w:pPr>
        <w:pStyle w:val="11"/>
        <w:spacing w:line="720" w:lineRule="auto"/>
        <w:jc w:val="center"/>
        <w:rPr>
          <w:rFonts w:hint="eastAsia"/>
          <w:b/>
          <w:bCs/>
          <w:color w:val="0000FF"/>
          <w:sz w:val="32"/>
          <w:szCs w:val="32"/>
        </w:rPr>
      </w:pPr>
    </w:p>
    <w:p w14:paraId="2B2D6C6A">
      <w:pPr>
        <w:pStyle w:val="11"/>
        <w:spacing w:line="720" w:lineRule="auto"/>
        <w:jc w:val="center"/>
        <w:rPr>
          <w:rFonts w:hint="eastAsia"/>
          <w:b/>
          <w:bCs/>
          <w:color w:val="0000FF"/>
          <w:sz w:val="32"/>
          <w:szCs w:val="32"/>
        </w:rPr>
      </w:pPr>
    </w:p>
    <w:p w14:paraId="0159D62B">
      <w:pPr>
        <w:pStyle w:val="11"/>
        <w:spacing w:line="720" w:lineRule="auto"/>
        <w:jc w:val="center"/>
        <w:rPr>
          <w:rFonts w:hint="eastAsia"/>
          <w:b/>
          <w:bCs/>
          <w:color w:val="0000FF"/>
          <w:sz w:val="32"/>
          <w:szCs w:val="32"/>
        </w:rPr>
      </w:pPr>
    </w:p>
    <w:p w14:paraId="0FEC0EB0">
      <w:pPr>
        <w:pStyle w:val="11"/>
        <w:spacing w:line="720" w:lineRule="auto"/>
        <w:jc w:val="center"/>
        <w:rPr>
          <w:rFonts w:hint="eastAsia"/>
          <w:b/>
          <w:bCs/>
          <w:color w:val="auto"/>
          <w:sz w:val="32"/>
          <w:szCs w:val="32"/>
        </w:rPr>
      </w:pPr>
    </w:p>
    <w:p w14:paraId="3B1B1E2B">
      <w:pPr>
        <w:pStyle w:val="11"/>
        <w:spacing w:line="720" w:lineRule="auto"/>
        <w:jc w:val="center"/>
        <w:rPr>
          <w:rFonts w:hint="eastAsia"/>
          <w:b/>
          <w:bCs/>
          <w:color w:val="auto"/>
          <w:sz w:val="32"/>
          <w:szCs w:val="32"/>
        </w:rPr>
      </w:pPr>
    </w:p>
    <w:p w14:paraId="443DF289">
      <w:pPr>
        <w:pStyle w:val="24"/>
        <w:ind w:left="0" w:leftChars="0" w:firstLine="0" w:firstLineChars="0"/>
        <w:rPr>
          <w:rFonts w:hint="eastAsia"/>
          <w:color w:val="auto"/>
        </w:rPr>
      </w:pPr>
    </w:p>
    <w:tbl>
      <w:tblPr>
        <w:tblStyle w:val="25"/>
        <w:tblW w:w="0" w:type="auto"/>
        <w:jc w:val="center"/>
        <w:tblLayout w:type="fixed"/>
        <w:tblCellMar>
          <w:top w:w="0" w:type="dxa"/>
          <w:left w:w="108" w:type="dxa"/>
          <w:bottom w:w="0" w:type="dxa"/>
          <w:right w:w="108" w:type="dxa"/>
        </w:tblCellMar>
      </w:tblPr>
      <w:tblGrid>
        <w:gridCol w:w="2263"/>
        <w:gridCol w:w="5296"/>
      </w:tblGrid>
      <w:tr w14:paraId="7D47C3B3">
        <w:tblPrEx>
          <w:tblCellMar>
            <w:top w:w="0" w:type="dxa"/>
            <w:left w:w="108" w:type="dxa"/>
            <w:bottom w:w="0" w:type="dxa"/>
            <w:right w:w="108" w:type="dxa"/>
          </w:tblCellMar>
        </w:tblPrEx>
        <w:trPr>
          <w:trHeight w:val="570" w:hRule="atLeast"/>
          <w:jc w:val="center"/>
        </w:trPr>
        <w:tc>
          <w:tcPr>
            <w:tcW w:w="2263" w:type="dxa"/>
            <w:noWrap w:val="0"/>
            <w:vAlign w:val="center"/>
          </w:tcPr>
          <w:p w14:paraId="4E41EA3A">
            <w:pPr>
              <w:widowControl/>
              <w:adjustRightInd/>
              <w:spacing w:line="480" w:lineRule="auto"/>
              <w:ind w:left="0" w:leftChars="0" w:firstLine="0" w:firstLineChars="0"/>
              <w:jc w:val="distribute"/>
              <w:textAlignment w:val="auto"/>
              <w:rPr>
                <w:rFonts w:ascii="宋体" w:hAnsi="宋体" w:cs="宋体"/>
                <w:b/>
                <w:bCs/>
                <w:color w:val="auto"/>
                <w:sz w:val="32"/>
                <w:szCs w:val="32"/>
              </w:rPr>
            </w:pPr>
            <w:r>
              <w:rPr>
                <w:rFonts w:hint="eastAsia" w:ascii="宋体" w:hAnsi="宋体" w:cs="宋体"/>
                <w:b/>
                <w:bCs/>
                <w:color w:val="auto"/>
                <w:sz w:val="32"/>
                <w:szCs w:val="32"/>
              </w:rPr>
              <w:t>建设单位：</w:t>
            </w:r>
          </w:p>
        </w:tc>
        <w:tc>
          <w:tcPr>
            <w:tcW w:w="5296" w:type="dxa"/>
            <w:noWrap w:val="0"/>
            <w:vAlign w:val="center"/>
          </w:tcPr>
          <w:p w14:paraId="31030248">
            <w:pPr>
              <w:autoSpaceDE w:val="0"/>
              <w:autoSpaceDN w:val="0"/>
              <w:spacing w:line="480" w:lineRule="auto"/>
              <w:ind w:left="0" w:leftChars="0" w:firstLine="0" w:firstLineChars="0"/>
              <w:jc w:val="distribute"/>
              <w:textAlignment w:val="auto"/>
              <w:rPr>
                <w:rFonts w:hint="eastAsia" w:ascii="宋体" w:hAnsi="宋体" w:eastAsia="宋体" w:cs="宋体"/>
                <w:b/>
                <w:bCs/>
                <w:color w:val="auto"/>
                <w:sz w:val="32"/>
                <w:szCs w:val="32"/>
                <w:lang w:eastAsia="zh-CN"/>
              </w:rPr>
            </w:pPr>
            <w:r>
              <w:rPr>
                <w:rFonts w:hint="eastAsia" w:ascii="宋体" w:hAnsi="宋体" w:eastAsia="宋体" w:cs="宋体"/>
                <w:b/>
                <w:bCs/>
                <w:color w:val="auto"/>
                <w:sz w:val="32"/>
                <w:szCs w:val="32"/>
                <w:lang w:eastAsia="zh-CN"/>
              </w:rPr>
              <w:t>四川虹炬精细化工有限责任公司</w:t>
            </w:r>
          </w:p>
        </w:tc>
      </w:tr>
      <w:tr w14:paraId="4EDBA5EB">
        <w:tblPrEx>
          <w:tblCellMar>
            <w:top w:w="0" w:type="dxa"/>
            <w:left w:w="108" w:type="dxa"/>
            <w:bottom w:w="0" w:type="dxa"/>
            <w:right w:w="108" w:type="dxa"/>
          </w:tblCellMar>
        </w:tblPrEx>
        <w:trPr>
          <w:trHeight w:val="1139" w:hRule="atLeast"/>
          <w:jc w:val="center"/>
        </w:trPr>
        <w:tc>
          <w:tcPr>
            <w:tcW w:w="2263" w:type="dxa"/>
            <w:noWrap w:val="0"/>
            <w:vAlign w:val="center"/>
          </w:tcPr>
          <w:p w14:paraId="7A271117">
            <w:pPr>
              <w:widowControl/>
              <w:adjustRightInd/>
              <w:spacing w:line="480" w:lineRule="auto"/>
              <w:ind w:left="0" w:leftChars="0" w:firstLine="0" w:firstLineChars="0"/>
              <w:jc w:val="distribute"/>
              <w:textAlignment w:val="auto"/>
              <w:rPr>
                <w:rFonts w:ascii="宋体" w:hAnsi="宋体" w:cs="宋体"/>
                <w:b/>
                <w:bCs/>
                <w:color w:val="auto"/>
                <w:sz w:val="32"/>
                <w:szCs w:val="32"/>
              </w:rPr>
            </w:pPr>
            <w:r>
              <w:rPr>
                <w:rFonts w:hint="eastAsia" w:ascii="宋体" w:hAnsi="宋体" w:cs="宋体"/>
                <w:b/>
                <w:bCs/>
                <w:color w:val="auto"/>
                <w:sz w:val="32"/>
                <w:szCs w:val="32"/>
              </w:rPr>
              <w:t>编制单位：</w:t>
            </w:r>
          </w:p>
        </w:tc>
        <w:tc>
          <w:tcPr>
            <w:tcW w:w="5296" w:type="dxa"/>
            <w:noWrap w:val="0"/>
            <w:vAlign w:val="center"/>
          </w:tcPr>
          <w:p w14:paraId="66326412">
            <w:pPr>
              <w:widowControl/>
              <w:adjustRightInd/>
              <w:spacing w:line="480" w:lineRule="auto"/>
              <w:ind w:left="0" w:leftChars="0" w:firstLine="0" w:firstLineChars="0"/>
              <w:jc w:val="distribute"/>
              <w:textAlignment w:val="auto"/>
              <w:rPr>
                <w:rFonts w:hint="default" w:ascii="宋体" w:hAnsi="宋体" w:eastAsia="宋体" w:cs="宋体"/>
                <w:b/>
                <w:bCs/>
                <w:color w:val="auto"/>
                <w:sz w:val="32"/>
                <w:szCs w:val="32"/>
                <w:lang w:val="en-US" w:eastAsia="zh-CN"/>
              </w:rPr>
            </w:pPr>
            <w:r>
              <w:rPr>
                <w:rFonts w:hint="eastAsia" w:ascii="宋体" w:hAnsi="宋体" w:eastAsia="宋体" w:cs="宋体"/>
                <w:b/>
                <w:bCs/>
                <w:color w:val="auto"/>
                <w:sz w:val="32"/>
                <w:szCs w:val="32"/>
                <w:lang w:val="en-US" w:eastAsia="zh-CN"/>
              </w:rPr>
              <w:t>四川鑫逸诚工程咨询有限公司</w:t>
            </w:r>
          </w:p>
        </w:tc>
      </w:tr>
    </w:tbl>
    <w:p w14:paraId="35C73914">
      <w:pPr>
        <w:pStyle w:val="11"/>
        <w:spacing w:line="480" w:lineRule="auto"/>
        <w:jc w:val="center"/>
        <w:rPr>
          <w:rFonts w:hint="default" w:eastAsia="仿宋_GB2312"/>
          <w:color w:val="auto"/>
          <w:lang w:val="en-US" w:eastAsia="zh-CN"/>
        </w:rPr>
        <w:sectPr>
          <w:pgSz w:w="11906" w:h="16838"/>
          <w:pgMar w:top="1417" w:right="1417" w:bottom="1417" w:left="1417"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ascii="宋体" w:hAnsi="宋体" w:eastAsia="宋体" w:cs="宋体"/>
          <w:b/>
          <w:bCs/>
          <w:color w:val="auto"/>
          <w:sz w:val="32"/>
          <w:szCs w:val="32"/>
          <w:lang w:val="en-US" w:eastAsia="zh-CN"/>
        </w:rPr>
        <w:t>2024</w:t>
      </w:r>
      <w:r>
        <w:rPr>
          <w:rFonts w:hint="eastAsia" w:ascii="宋体" w:hAnsi="宋体" w:eastAsia="宋体" w:cs="宋体"/>
          <w:b/>
          <w:bCs/>
          <w:color w:val="auto"/>
          <w:sz w:val="32"/>
          <w:szCs w:val="32"/>
          <w:lang w:eastAsia="zh-CN"/>
        </w:rPr>
        <w:t>年</w:t>
      </w:r>
      <w:r>
        <w:rPr>
          <w:rFonts w:hint="eastAsia" w:ascii="宋体" w:hAnsi="宋体" w:eastAsia="宋体" w:cs="宋体"/>
          <w:b/>
          <w:bCs/>
          <w:color w:val="auto"/>
          <w:sz w:val="32"/>
          <w:szCs w:val="32"/>
          <w:lang w:val="en-US" w:eastAsia="zh-CN"/>
        </w:rPr>
        <w:t>12月</w:t>
      </w:r>
    </w:p>
    <w:p w14:paraId="51044261">
      <w:pPr>
        <w:pStyle w:val="75"/>
        <w:keepNext w:val="0"/>
        <w:keepLines w:val="0"/>
        <w:pageBreakBefore w:val="0"/>
        <w:widowControl w:val="0"/>
        <w:kinsoku/>
        <w:wordWrap/>
        <w:overflowPunct/>
        <w:topLinePunct w:val="0"/>
        <w:autoSpaceDE/>
        <w:autoSpaceDN/>
        <w:bidi w:val="0"/>
        <w:adjustRightInd/>
        <w:snapToGrid/>
        <w:spacing w:line="360" w:lineRule="auto"/>
        <w:ind w:firstLine="0" w:firstLineChars="0"/>
        <w:jc w:val="both"/>
        <w:textAlignment w:val="auto"/>
        <w:rPr>
          <w:rFonts w:hint="eastAsia"/>
          <w:b/>
          <w:bCs/>
          <w:color w:val="0000FF"/>
          <w:sz w:val="32"/>
          <w:szCs w:val="32"/>
          <w:lang w:eastAsia="zh-CN"/>
        </w:rPr>
      </w:pPr>
    </w:p>
    <w:p w14:paraId="2BDAE747">
      <w:pPr>
        <w:pStyle w:val="75"/>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eastAsia="黑体"/>
          <w:b w:val="0"/>
          <w:bCs w:val="0"/>
          <w:color w:val="auto"/>
          <w:spacing w:val="0"/>
          <w:w w:val="100"/>
          <w:sz w:val="32"/>
          <w:szCs w:val="32"/>
          <w:lang w:val="en-US" w:eastAsia="zh-CN"/>
        </w:rPr>
      </w:pPr>
      <w:r>
        <w:rPr>
          <w:rFonts w:hint="eastAsia" w:eastAsia="黑体"/>
          <w:b w:val="0"/>
          <w:bCs w:val="0"/>
          <w:color w:val="auto"/>
          <w:spacing w:val="0"/>
          <w:w w:val="100"/>
          <w:sz w:val="32"/>
          <w:szCs w:val="32"/>
          <w:lang w:eastAsia="zh-CN"/>
        </w:rPr>
        <w:t>乙炔生产工厂和充装站一期项目水土保持方案报告表</w:t>
      </w:r>
    </w:p>
    <w:p w14:paraId="63081EB7">
      <w:pPr>
        <w:pStyle w:val="75"/>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eastAsia="黑体"/>
          <w:b w:val="0"/>
          <w:bCs w:val="0"/>
          <w:color w:val="auto"/>
          <w:spacing w:val="0"/>
          <w:w w:val="100"/>
          <w:sz w:val="32"/>
          <w:szCs w:val="32"/>
        </w:rPr>
      </w:pPr>
      <w:r>
        <w:rPr>
          <w:rFonts w:hint="eastAsia" w:eastAsia="黑体"/>
          <w:b w:val="0"/>
          <w:bCs w:val="0"/>
          <w:color w:val="auto"/>
          <w:spacing w:val="0"/>
          <w:w w:val="100"/>
          <w:sz w:val="32"/>
          <w:szCs w:val="32"/>
        </w:rPr>
        <w:t>责任页</w:t>
      </w:r>
    </w:p>
    <w:p w14:paraId="04629201">
      <w:pPr>
        <w:pStyle w:val="75"/>
        <w:keepNext w:val="0"/>
        <w:keepLines w:val="0"/>
        <w:pageBreakBefore w:val="0"/>
        <w:widowControl w:val="0"/>
        <w:kinsoku/>
        <w:wordWrap/>
        <w:overflowPunct/>
        <w:topLinePunct w:val="0"/>
        <w:autoSpaceDE/>
        <w:autoSpaceDN/>
        <w:bidi w:val="0"/>
        <w:adjustRightInd/>
        <w:snapToGrid/>
        <w:ind w:firstLine="0" w:firstLineChars="0"/>
        <w:textAlignment w:val="auto"/>
        <w:rPr>
          <w:rFonts w:ascii="仿宋_GB2312" w:hAnsi="仿宋_GB2312" w:eastAsia="仿宋_GB2312" w:cs="仿宋_GB2312"/>
          <w:b w:val="0"/>
          <w:bCs w:val="0"/>
          <w:color w:val="auto"/>
          <w:spacing w:val="0"/>
          <w:w w:val="100"/>
          <w:sz w:val="28"/>
          <w:szCs w:val="28"/>
        </w:rPr>
      </w:pPr>
      <w:r>
        <w:rPr>
          <w:rFonts w:hint="eastAsia" w:ascii="仿宋_GB2312" w:hAnsi="仿宋_GB2312" w:eastAsia="仿宋_GB2312" w:cs="仿宋_GB2312"/>
          <w:b w:val="0"/>
          <w:bCs w:val="0"/>
          <w:color w:val="auto"/>
          <w:spacing w:val="0"/>
          <w:w w:val="100"/>
          <w:sz w:val="28"/>
          <w:szCs w:val="28"/>
        </w:rPr>
        <w:t>（</w:t>
      </w:r>
      <w:r>
        <w:rPr>
          <w:rFonts w:hint="eastAsia" w:ascii="仿宋_GB2312" w:hAnsi="仿宋_GB2312" w:cs="仿宋_GB2312"/>
          <w:b w:val="0"/>
          <w:bCs w:val="0"/>
          <w:color w:val="auto"/>
          <w:spacing w:val="0"/>
          <w:w w:val="100"/>
          <w:sz w:val="28"/>
          <w:szCs w:val="28"/>
          <w:lang w:eastAsia="zh-CN"/>
        </w:rPr>
        <w:t>四川鑫逸诚工程咨询有限公司</w:t>
      </w:r>
      <w:r>
        <w:rPr>
          <w:rFonts w:hint="eastAsia" w:ascii="仿宋_GB2312" w:hAnsi="仿宋_GB2312" w:eastAsia="仿宋_GB2312" w:cs="仿宋_GB2312"/>
          <w:b w:val="0"/>
          <w:bCs w:val="0"/>
          <w:color w:val="auto"/>
          <w:spacing w:val="0"/>
          <w:w w:val="100"/>
          <w:sz w:val="28"/>
          <w:szCs w:val="28"/>
        </w:rPr>
        <w:t>）</w:t>
      </w:r>
    </w:p>
    <w:tbl>
      <w:tblPr>
        <w:tblStyle w:val="25"/>
        <w:tblpPr w:leftFromText="180" w:rightFromText="180" w:vertAnchor="text" w:horzAnchor="page" w:tblpX="1779" w:tblpY="642"/>
        <w:tblOverlap w:val="never"/>
        <w:tblW w:w="8998" w:type="dxa"/>
        <w:tblInd w:w="0" w:type="dxa"/>
        <w:tblBorders>
          <w:top w:val="none" w:color="auto" w:sz="0" w:space="0"/>
          <w:left w:val="none" w:color="auto" w:sz="0" w:space="0"/>
          <w:bottom w:val="none" w:color="auto" w:sz="0" w:space="0"/>
          <w:right w:val="none" w:color="auto" w:sz="0" w:space="0"/>
          <w:insideH w:val="none" w:color="auto" w:sz="4" w:space="0"/>
          <w:insideV w:val="none" w:color="auto" w:sz="4" w:space="0"/>
        </w:tblBorders>
        <w:tblLayout w:type="fixed"/>
        <w:tblCellMar>
          <w:top w:w="0" w:type="dxa"/>
          <w:left w:w="0" w:type="dxa"/>
          <w:bottom w:w="0" w:type="dxa"/>
          <w:right w:w="0" w:type="dxa"/>
        </w:tblCellMar>
      </w:tblPr>
      <w:tblGrid>
        <w:gridCol w:w="1104"/>
        <w:gridCol w:w="847"/>
        <w:gridCol w:w="1134"/>
        <w:gridCol w:w="1993"/>
        <w:gridCol w:w="1973"/>
        <w:gridCol w:w="525"/>
        <w:gridCol w:w="946"/>
        <w:gridCol w:w="476"/>
      </w:tblGrid>
      <w:tr w14:paraId="010F0C3B">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gridAfter w:val="2"/>
          <w:wAfter w:w="1422" w:type="dxa"/>
          <w:trHeight w:val="887" w:hRule="atLeast"/>
        </w:trPr>
        <w:tc>
          <w:tcPr>
            <w:tcW w:w="1951" w:type="dxa"/>
            <w:gridSpan w:val="2"/>
            <w:noWrap w:val="0"/>
            <w:tcMar>
              <w:top w:w="0" w:type="dxa"/>
              <w:left w:w="108" w:type="dxa"/>
              <w:bottom w:w="0" w:type="dxa"/>
              <w:right w:w="108" w:type="dxa"/>
            </w:tcMar>
            <w:vAlign w:val="center"/>
          </w:tcPr>
          <w:p w14:paraId="32C13384">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ascii="黑体" w:hAnsi="黑体" w:eastAsia="黑体"/>
                <w:color w:val="auto"/>
                <w:sz w:val="28"/>
              </w:rPr>
              <w:t>批准：</w:t>
            </w:r>
          </w:p>
        </w:tc>
        <w:tc>
          <w:tcPr>
            <w:tcW w:w="1134" w:type="dxa"/>
            <w:noWrap w:val="0"/>
            <w:tcMar>
              <w:top w:w="0" w:type="dxa"/>
              <w:left w:w="108" w:type="dxa"/>
              <w:bottom w:w="0" w:type="dxa"/>
              <w:right w:w="108" w:type="dxa"/>
            </w:tcMar>
            <w:vAlign w:val="center"/>
          </w:tcPr>
          <w:p w14:paraId="33357B52">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default" w:ascii="黑体" w:hAnsi="黑体" w:eastAsia="黑体"/>
                <w:color w:val="auto"/>
                <w:sz w:val="28"/>
                <w:lang w:val="en-US" w:eastAsia="zh-CN"/>
              </w:rPr>
            </w:pPr>
            <w:r>
              <w:rPr>
                <w:rFonts w:hint="eastAsia" w:ascii="黑体" w:hAnsi="黑体" w:eastAsia="黑体"/>
                <w:color w:val="auto"/>
                <w:sz w:val="28"/>
                <w:lang w:val="en-US" w:eastAsia="zh-CN"/>
              </w:rPr>
              <w:t>汪鹭</w:t>
            </w:r>
          </w:p>
        </w:tc>
        <w:tc>
          <w:tcPr>
            <w:tcW w:w="1993" w:type="dxa"/>
            <w:noWrap w:val="0"/>
            <w:tcMar>
              <w:top w:w="0" w:type="dxa"/>
              <w:left w:w="108" w:type="dxa"/>
              <w:bottom w:w="0" w:type="dxa"/>
              <w:right w:w="108" w:type="dxa"/>
            </w:tcMar>
            <w:vAlign w:val="center"/>
          </w:tcPr>
          <w:p w14:paraId="213B2F07">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eastAsia" w:ascii="黑体" w:hAnsi="黑体" w:eastAsia="黑体"/>
                <w:color w:val="auto"/>
                <w:sz w:val="28"/>
                <w:lang w:eastAsia="zh-CN"/>
              </w:rPr>
            </w:pPr>
            <w:r>
              <w:rPr>
                <w:rFonts w:hint="eastAsia" w:ascii="黑体" w:hAnsi="黑体" w:eastAsia="黑体"/>
                <w:color w:val="auto"/>
                <w:sz w:val="28"/>
                <w:lang w:eastAsia="zh-CN"/>
              </w:rPr>
              <w:t>（</w:t>
            </w:r>
            <w:r>
              <w:rPr>
                <w:rFonts w:hint="eastAsia" w:ascii="黑体" w:hAnsi="黑体" w:eastAsia="黑体"/>
                <w:color w:val="auto"/>
                <w:sz w:val="28"/>
                <w:lang w:val="en-US" w:eastAsia="zh-CN"/>
              </w:rPr>
              <w:t>总经理</w:t>
            </w:r>
            <w:r>
              <w:rPr>
                <w:rFonts w:hint="eastAsia" w:ascii="黑体" w:hAnsi="黑体" w:eastAsia="黑体"/>
                <w:color w:val="auto"/>
                <w:sz w:val="28"/>
                <w:lang w:eastAsia="zh-CN"/>
              </w:rPr>
              <w:t>）</w:t>
            </w:r>
          </w:p>
        </w:tc>
        <w:tc>
          <w:tcPr>
            <w:tcW w:w="2498" w:type="dxa"/>
            <w:gridSpan w:val="2"/>
            <w:noWrap w:val="0"/>
            <w:tcMar>
              <w:top w:w="0" w:type="dxa"/>
              <w:left w:w="108" w:type="dxa"/>
              <w:bottom w:w="0" w:type="dxa"/>
              <w:right w:w="108" w:type="dxa"/>
            </w:tcMar>
            <w:vAlign w:val="center"/>
          </w:tcPr>
          <w:p w14:paraId="2CB3A14B">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color w:val="auto"/>
              </w:rPr>
              <w:drawing>
                <wp:inline distT="0" distB="0" distL="114300" distR="114300">
                  <wp:extent cx="1417320" cy="568325"/>
                  <wp:effectExtent l="0" t="0" r="11430" b="3175"/>
                  <wp:docPr id="2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6"/>
                          <pic:cNvPicPr>
                            <a:picLocks noChangeAspect="1"/>
                          </pic:cNvPicPr>
                        </pic:nvPicPr>
                        <pic:blipFill>
                          <a:blip r:embed="rId22"/>
                          <a:stretch>
                            <a:fillRect/>
                          </a:stretch>
                        </pic:blipFill>
                        <pic:spPr>
                          <a:xfrm>
                            <a:off x="0" y="0"/>
                            <a:ext cx="1417320" cy="568325"/>
                          </a:xfrm>
                          <a:prstGeom prst="rect">
                            <a:avLst/>
                          </a:prstGeom>
                          <a:noFill/>
                          <a:ln>
                            <a:noFill/>
                          </a:ln>
                        </pic:spPr>
                      </pic:pic>
                    </a:graphicData>
                  </a:graphic>
                </wp:inline>
              </w:drawing>
            </w:r>
            <w:r>
              <w:rPr>
                <w:color w:val="auto"/>
              </w:rPr>
              <w:drawing>
                <wp:anchor distT="0" distB="0" distL="114300" distR="114300" simplePos="0" relativeHeight="251667456" behindDoc="0" locked="0" layoutInCell="1" allowOverlap="1">
                  <wp:simplePos x="0" y="0"/>
                  <wp:positionH relativeFrom="column">
                    <wp:posOffset>175895</wp:posOffset>
                  </wp:positionH>
                  <wp:positionV relativeFrom="paragraph">
                    <wp:posOffset>551180</wp:posOffset>
                  </wp:positionV>
                  <wp:extent cx="1068070" cy="539750"/>
                  <wp:effectExtent l="0" t="0" r="0" b="0"/>
                  <wp:wrapNone/>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23">
                            <a:lum bright="-100000"/>
                          </a:blip>
                          <a:stretch>
                            <a:fillRect/>
                          </a:stretch>
                        </pic:blipFill>
                        <pic:spPr>
                          <a:xfrm>
                            <a:off x="0" y="0"/>
                            <a:ext cx="1068070" cy="539750"/>
                          </a:xfrm>
                          <a:prstGeom prst="rect">
                            <a:avLst/>
                          </a:prstGeom>
                          <a:noFill/>
                          <a:ln>
                            <a:noFill/>
                          </a:ln>
                        </pic:spPr>
                      </pic:pic>
                    </a:graphicData>
                  </a:graphic>
                </wp:anchor>
              </w:drawing>
            </w:r>
          </w:p>
        </w:tc>
      </w:tr>
      <w:tr w14:paraId="41A4EAA4">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gridAfter w:val="2"/>
          <w:wAfter w:w="1422" w:type="dxa"/>
          <w:trHeight w:val="851" w:hRule="atLeast"/>
        </w:trPr>
        <w:tc>
          <w:tcPr>
            <w:tcW w:w="1951" w:type="dxa"/>
            <w:gridSpan w:val="2"/>
            <w:noWrap w:val="0"/>
            <w:tcMar>
              <w:top w:w="0" w:type="dxa"/>
              <w:left w:w="108" w:type="dxa"/>
              <w:bottom w:w="0" w:type="dxa"/>
              <w:right w:w="108" w:type="dxa"/>
            </w:tcMar>
            <w:vAlign w:val="center"/>
          </w:tcPr>
          <w:p w14:paraId="6368FDA5">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hint="eastAsia" w:ascii="黑体" w:hAnsi="黑体" w:eastAsia="黑体"/>
                <w:color w:val="auto"/>
                <w:sz w:val="28"/>
                <w:lang w:val="en-US" w:eastAsia="zh-CN"/>
              </w:rPr>
              <w:t>核定</w:t>
            </w:r>
            <w:r>
              <w:rPr>
                <w:rFonts w:ascii="黑体" w:hAnsi="黑体" w:eastAsia="黑体"/>
                <w:color w:val="auto"/>
                <w:sz w:val="28"/>
              </w:rPr>
              <w:t>：</w:t>
            </w:r>
          </w:p>
        </w:tc>
        <w:tc>
          <w:tcPr>
            <w:tcW w:w="1134" w:type="dxa"/>
            <w:noWrap w:val="0"/>
            <w:tcMar>
              <w:top w:w="0" w:type="dxa"/>
              <w:left w:w="108" w:type="dxa"/>
              <w:bottom w:w="0" w:type="dxa"/>
              <w:right w:w="108" w:type="dxa"/>
            </w:tcMar>
            <w:vAlign w:val="center"/>
          </w:tcPr>
          <w:p w14:paraId="16BF3F0F">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default" w:ascii="黑体" w:hAnsi="黑体" w:eastAsia="黑体"/>
                <w:color w:val="auto"/>
                <w:sz w:val="28"/>
                <w:lang w:val="en-US" w:eastAsia="zh-CN"/>
              </w:rPr>
            </w:pPr>
            <w:r>
              <w:rPr>
                <w:rFonts w:hint="eastAsia" w:ascii="黑体" w:hAnsi="黑体" w:eastAsia="黑体"/>
                <w:color w:val="auto"/>
                <w:sz w:val="28"/>
                <w:lang w:val="en-US" w:eastAsia="zh-CN"/>
              </w:rPr>
              <w:t>刘文杰</w:t>
            </w:r>
          </w:p>
        </w:tc>
        <w:tc>
          <w:tcPr>
            <w:tcW w:w="1993" w:type="dxa"/>
            <w:noWrap w:val="0"/>
            <w:tcMar>
              <w:top w:w="0" w:type="dxa"/>
              <w:left w:w="108" w:type="dxa"/>
              <w:bottom w:w="0" w:type="dxa"/>
              <w:right w:w="108" w:type="dxa"/>
            </w:tcMar>
            <w:vAlign w:val="center"/>
          </w:tcPr>
          <w:p w14:paraId="24C0AE81">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ascii="黑体" w:hAnsi="黑体" w:eastAsia="黑体"/>
                <w:color w:val="auto"/>
                <w:sz w:val="28"/>
              </w:rPr>
              <w:t>(工程师)</w:t>
            </w:r>
          </w:p>
        </w:tc>
        <w:tc>
          <w:tcPr>
            <w:tcW w:w="2498" w:type="dxa"/>
            <w:gridSpan w:val="2"/>
            <w:noWrap w:val="0"/>
            <w:tcMar>
              <w:top w:w="0" w:type="dxa"/>
              <w:left w:w="108" w:type="dxa"/>
              <w:bottom w:w="0" w:type="dxa"/>
              <w:right w:w="108" w:type="dxa"/>
            </w:tcMar>
            <w:vAlign w:val="center"/>
          </w:tcPr>
          <w:p w14:paraId="33AD74DB">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color w:val="auto"/>
              </w:rPr>
              <w:drawing>
                <wp:anchor distT="0" distB="0" distL="114300" distR="114300" simplePos="0" relativeHeight="251666432" behindDoc="0" locked="0" layoutInCell="1" allowOverlap="1">
                  <wp:simplePos x="0" y="0"/>
                  <wp:positionH relativeFrom="column">
                    <wp:posOffset>4715510</wp:posOffset>
                  </wp:positionH>
                  <wp:positionV relativeFrom="paragraph">
                    <wp:posOffset>4924425</wp:posOffset>
                  </wp:positionV>
                  <wp:extent cx="1068070" cy="539750"/>
                  <wp:effectExtent l="0" t="0" r="0" b="0"/>
                  <wp:wrapNone/>
                  <wp:docPr id="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
                          <pic:cNvPicPr>
                            <a:picLocks noChangeAspect="1"/>
                          </pic:cNvPicPr>
                        </pic:nvPicPr>
                        <pic:blipFill>
                          <a:blip r:embed="rId23">
                            <a:lum bright="-100000"/>
                          </a:blip>
                          <a:stretch>
                            <a:fillRect/>
                          </a:stretch>
                        </pic:blipFill>
                        <pic:spPr>
                          <a:xfrm>
                            <a:off x="0" y="0"/>
                            <a:ext cx="1068070" cy="539750"/>
                          </a:xfrm>
                          <a:prstGeom prst="rect">
                            <a:avLst/>
                          </a:prstGeom>
                          <a:noFill/>
                          <a:ln>
                            <a:noFill/>
                          </a:ln>
                        </pic:spPr>
                      </pic:pic>
                    </a:graphicData>
                  </a:graphic>
                </wp:anchor>
              </w:drawing>
            </w:r>
          </w:p>
        </w:tc>
      </w:tr>
      <w:tr w14:paraId="40738047">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gridAfter w:val="2"/>
          <w:wAfter w:w="1422" w:type="dxa"/>
          <w:trHeight w:val="851" w:hRule="atLeast"/>
        </w:trPr>
        <w:tc>
          <w:tcPr>
            <w:tcW w:w="1951" w:type="dxa"/>
            <w:gridSpan w:val="2"/>
            <w:noWrap w:val="0"/>
            <w:tcMar>
              <w:top w:w="0" w:type="dxa"/>
              <w:left w:w="108" w:type="dxa"/>
              <w:bottom w:w="0" w:type="dxa"/>
              <w:right w:w="108" w:type="dxa"/>
            </w:tcMar>
            <w:vAlign w:val="center"/>
          </w:tcPr>
          <w:p w14:paraId="423D9061">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eastAsia" w:ascii="黑体" w:hAnsi="黑体" w:eastAsia="黑体"/>
                <w:color w:val="auto"/>
                <w:sz w:val="28"/>
              </w:rPr>
            </w:pPr>
            <w:r>
              <w:rPr>
                <w:rFonts w:hint="eastAsia" w:ascii="黑体" w:hAnsi="黑体" w:eastAsia="黑体"/>
                <w:color w:val="auto"/>
                <w:sz w:val="28"/>
              </w:rPr>
              <w:t>审查</w:t>
            </w:r>
            <w:r>
              <w:rPr>
                <w:rFonts w:ascii="黑体" w:hAnsi="黑体" w:eastAsia="黑体"/>
                <w:color w:val="auto"/>
                <w:sz w:val="28"/>
              </w:rPr>
              <w:t>：</w:t>
            </w:r>
          </w:p>
        </w:tc>
        <w:tc>
          <w:tcPr>
            <w:tcW w:w="1134" w:type="dxa"/>
            <w:noWrap w:val="0"/>
            <w:tcMar>
              <w:top w:w="0" w:type="dxa"/>
              <w:left w:w="108" w:type="dxa"/>
              <w:bottom w:w="0" w:type="dxa"/>
              <w:right w:w="108" w:type="dxa"/>
            </w:tcMar>
            <w:vAlign w:val="center"/>
          </w:tcPr>
          <w:p w14:paraId="6A0579E5">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default" w:ascii="黑体" w:hAnsi="黑体" w:eastAsia="黑体"/>
                <w:color w:val="auto"/>
                <w:sz w:val="28"/>
                <w:lang w:val="en-US" w:eastAsia="zh-CN"/>
              </w:rPr>
            </w:pPr>
            <w:r>
              <w:rPr>
                <w:rFonts w:hint="eastAsia" w:ascii="黑体" w:hAnsi="黑体" w:eastAsia="黑体"/>
                <w:color w:val="auto"/>
                <w:sz w:val="28"/>
                <w:lang w:val="en-US" w:eastAsia="zh-CN"/>
              </w:rPr>
              <w:t>胥潘</w:t>
            </w:r>
          </w:p>
        </w:tc>
        <w:tc>
          <w:tcPr>
            <w:tcW w:w="1993" w:type="dxa"/>
            <w:noWrap w:val="0"/>
            <w:tcMar>
              <w:top w:w="0" w:type="dxa"/>
              <w:left w:w="108" w:type="dxa"/>
              <w:bottom w:w="0" w:type="dxa"/>
              <w:right w:w="108" w:type="dxa"/>
            </w:tcMar>
            <w:vAlign w:val="center"/>
          </w:tcPr>
          <w:p w14:paraId="6A571038">
            <w:pPr>
              <w:keepNext w:val="0"/>
              <w:keepLines w:val="0"/>
              <w:pageBreakBefore w:val="0"/>
              <w:widowControl/>
              <w:kinsoku/>
              <w:wordWrap/>
              <w:overflowPunct/>
              <w:topLinePunct w:val="0"/>
              <w:autoSpaceDE/>
              <w:autoSpaceDN/>
              <w:bidi w:val="0"/>
              <w:adjustRightInd/>
              <w:snapToGrid/>
              <w:ind w:firstLine="0" w:firstLineChars="0"/>
              <w:jc w:val="distribute"/>
              <w:textAlignment w:val="auto"/>
              <w:rPr>
                <w:color w:val="auto"/>
              </w:rPr>
            </w:pPr>
            <w:r>
              <w:rPr>
                <w:rFonts w:ascii="黑体" w:hAnsi="黑体" w:eastAsia="黑体"/>
                <w:color w:val="auto"/>
                <w:sz w:val="28"/>
              </w:rPr>
              <w:t>(工程师)</w:t>
            </w:r>
          </w:p>
        </w:tc>
        <w:tc>
          <w:tcPr>
            <w:tcW w:w="2498" w:type="dxa"/>
            <w:gridSpan w:val="2"/>
            <w:noWrap w:val="0"/>
            <w:tcMar>
              <w:top w:w="0" w:type="dxa"/>
              <w:left w:w="108" w:type="dxa"/>
              <w:bottom w:w="0" w:type="dxa"/>
              <w:right w:w="108" w:type="dxa"/>
            </w:tcMar>
            <w:vAlign w:val="center"/>
          </w:tcPr>
          <w:p w14:paraId="56E02944">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color w:val="auto"/>
              </w:rPr>
              <w:drawing>
                <wp:inline distT="0" distB="0" distL="114300" distR="114300">
                  <wp:extent cx="1576070" cy="462915"/>
                  <wp:effectExtent l="0" t="0" r="5080" b="1333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24"/>
                          <a:stretch>
                            <a:fillRect/>
                          </a:stretch>
                        </pic:blipFill>
                        <pic:spPr>
                          <a:xfrm>
                            <a:off x="0" y="0"/>
                            <a:ext cx="1576070" cy="462915"/>
                          </a:xfrm>
                          <a:prstGeom prst="rect">
                            <a:avLst/>
                          </a:prstGeom>
                          <a:noFill/>
                          <a:ln>
                            <a:noFill/>
                          </a:ln>
                        </pic:spPr>
                      </pic:pic>
                    </a:graphicData>
                  </a:graphic>
                </wp:inline>
              </w:drawing>
            </w:r>
          </w:p>
        </w:tc>
      </w:tr>
      <w:tr w14:paraId="35557193">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gridAfter w:val="2"/>
          <w:wAfter w:w="1422" w:type="dxa"/>
          <w:trHeight w:val="851" w:hRule="atLeast"/>
        </w:trPr>
        <w:tc>
          <w:tcPr>
            <w:tcW w:w="1951" w:type="dxa"/>
            <w:gridSpan w:val="2"/>
            <w:noWrap w:val="0"/>
            <w:tcMar>
              <w:top w:w="0" w:type="dxa"/>
              <w:left w:w="108" w:type="dxa"/>
              <w:bottom w:w="0" w:type="dxa"/>
              <w:right w:w="108" w:type="dxa"/>
            </w:tcMar>
            <w:vAlign w:val="center"/>
          </w:tcPr>
          <w:p w14:paraId="116F211C">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hint="eastAsia" w:ascii="黑体" w:hAnsi="黑体" w:eastAsia="黑体"/>
                <w:color w:val="auto"/>
                <w:sz w:val="28"/>
              </w:rPr>
              <w:t xml:space="preserve">项目负责人 </w:t>
            </w:r>
            <w:r>
              <w:rPr>
                <w:rFonts w:ascii="黑体" w:hAnsi="黑体" w:eastAsia="黑体"/>
                <w:color w:val="auto"/>
                <w:sz w:val="28"/>
              </w:rPr>
              <w:t>：</w:t>
            </w:r>
          </w:p>
        </w:tc>
        <w:tc>
          <w:tcPr>
            <w:tcW w:w="1134" w:type="dxa"/>
            <w:noWrap w:val="0"/>
            <w:tcMar>
              <w:top w:w="0" w:type="dxa"/>
              <w:left w:w="108" w:type="dxa"/>
              <w:bottom w:w="0" w:type="dxa"/>
              <w:right w:w="108" w:type="dxa"/>
            </w:tcMar>
            <w:vAlign w:val="center"/>
          </w:tcPr>
          <w:p w14:paraId="34E48B71">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default" w:ascii="黑体" w:hAnsi="黑体" w:eastAsia="黑体"/>
                <w:color w:val="auto"/>
                <w:sz w:val="28"/>
                <w:lang w:val="en-US" w:eastAsia="zh-CN"/>
              </w:rPr>
            </w:pPr>
            <w:r>
              <w:rPr>
                <w:rFonts w:hint="eastAsia" w:ascii="黑体" w:hAnsi="黑体" w:eastAsia="黑体"/>
                <w:color w:val="auto"/>
                <w:sz w:val="28"/>
                <w:lang w:val="en-US" w:eastAsia="zh-CN"/>
              </w:rPr>
              <w:t>赵诗淇</w:t>
            </w:r>
          </w:p>
        </w:tc>
        <w:tc>
          <w:tcPr>
            <w:tcW w:w="1993" w:type="dxa"/>
            <w:noWrap w:val="0"/>
            <w:tcMar>
              <w:top w:w="0" w:type="dxa"/>
              <w:left w:w="108" w:type="dxa"/>
              <w:bottom w:w="0" w:type="dxa"/>
              <w:right w:w="108" w:type="dxa"/>
            </w:tcMar>
            <w:vAlign w:val="center"/>
          </w:tcPr>
          <w:p w14:paraId="1F0293FF">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ascii="黑体" w:hAnsi="黑体" w:eastAsia="黑体"/>
                <w:color w:val="auto"/>
                <w:sz w:val="28"/>
              </w:rPr>
              <w:t>(工程师)</w:t>
            </w:r>
          </w:p>
        </w:tc>
        <w:tc>
          <w:tcPr>
            <w:tcW w:w="2498" w:type="dxa"/>
            <w:gridSpan w:val="2"/>
            <w:noWrap w:val="0"/>
            <w:tcMar>
              <w:top w:w="0" w:type="dxa"/>
              <w:left w:w="108" w:type="dxa"/>
              <w:bottom w:w="0" w:type="dxa"/>
              <w:right w:w="108" w:type="dxa"/>
            </w:tcMar>
            <w:vAlign w:val="center"/>
          </w:tcPr>
          <w:p w14:paraId="36EB8C32">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color w:val="auto"/>
              </w:rPr>
              <w:drawing>
                <wp:inline distT="0" distB="0" distL="114300" distR="114300">
                  <wp:extent cx="1211580" cy="507365"/>
                  <wp:effectExtent l="0" t="0" r="7620" b="6985"/>
                  <wp:docPr id="2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pic:cNvPicPr>
                            <a:picLocks noChangeAspect="1"/>
                          </pic:cNvPicPr>
                        </pic:nvPicPr>
                        <pic:blipFill>
                          <a:blip r:embed="rId25"/>
                          <a:stretch>
                            <a:fillRect/>
                          </a:stretch>
                        </pic:blipFill>
                        <pic:spPr>
                          <a:xfrm>
                            <a:off x="0" y="0"/>
                            <a:ext cx="1211580" cy="507365"/>
                          </a:xfrm>
                          <a:prstGeom prst="rect">
                            <a:avLst/>
                          </a:prstGeom>
                          <a:noFill/>
                          <a:ln>
                            <a:noFill/>
                          </a:ln>
                        </pic:spPr>
                      </pic:pic>
                    </a:graphicData>
                  </a:graphic>
                </wp:inline>
              </w:drawing>
            </w:r>
          </w:p>
        </w:tc>
      </w:tr>
      <w:tr w14:paraId="70532D65">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gridAfter w:val="1"/>
          <w:wAfter w:w="476" w:type="dxa"/>
          <w:trHeight w:val="625" w:hRule="atLeast"/>
        </w:trPr>
        <w:tc>
          <w:tcPr>
            <w:tcW w:w="3085" w:type="dxa"/>
            <w:gridSpan w:val="3"/>
            <w:noWrap w:val="0"/>
            <w:tcMar>
              <w:top w:w="0" w:type="dxa"/>
              <w:left w:w="108" w:type="dxa"/>
              <w:bottom w:w="0" w:type="dxa"/>
              <w:right w:w="108" w:type="dxa"/>
            </w:tcMar>
            <w:vAlign w:val="top"/>
          </w:tcPr>
          <w:p w14:paraId="47314544">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r>
              <w:rPr>
                <w:rFonts w:ascii="黑体" w:hAnsi="黑体" w:eastAsia="黑体"/>
                <w:color w:val="auto"/>
                <w:sz w:val="28"/>
              </w:rPr>
              <w:t>参加工作人员</w:t>
            </w:r>
          </w:p>
        </w:tc>
        <w:tc>
          <w:tcPr>
            <w:tcW w:w="5437" w:type="dxa"/>
            <w:gridSpan w:val="4"/>
            <w:noWrap w:val="0"/>
            <w:tcMar>
              <w:top w:w="0" w:type="dxa"/>
              <w:left w:w="108" w:type="dxa"/>
              <w:bottom w:w="0" w:type="dxa"/>
              <w:right w:w="108" w:type="dxa"/>
            </w:tcMar>
            <w:vAlign w:val="top"/>
          </w:tcPr>
          <w:p w14:paraId="6D6060C5">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p>
        </w:tc>
      </w:tr>
      <w:tr w14:paraId="39270D5C">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trHeight w:val="1134" w:hRule="atLeast"/>
        </w:trPr>
        <w:tc>
          <w:tcPr>
            <w:tcW w:w="1104" w:type="dxa"/>
            <w:noWrap w:val="0"/>
            <w:tcMar>
              <w:top w:w="0" w:type="dxa"/>
              <w:left w:w="108" w:type="dxa"/>
              <w:bottom w:w="0" w:type="dxa"/>
              <w:right w:w="108" w:type="dxa"/>
            </w:tcMar>
            <w:vAlign w:val="center"/>
          </w:tcPr>
          <w:p w14:paraId="71B19162">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eastAsia" w:ascii="黑体" w:hAnsi="黑体" w:eastAsia="黑体"/>
                <w:color w:val="auto"/>
                <w:sz w:val="28"/>
                <w:lang w:val="en-US" w:eastAsia="zh-CN"/>
              </w:rPr>
            </w:pPr>
            <w:r>
              <w:rPr>
                <w:rFonts w:hint="eastAsia" w:ascii="黑体" w:hAnsi="黑体" w:eastAsia="黑体"/>
                <w:color w:val="auto"/>
                <w:sz w:val="28"/>
                <w:lang w:val="en-US" w:eastAsia="zh-CN"/>
              </w:rPr>
              <w:t>金星月</w:t>
            </w:r>
          </w:p>
        </w:tc>
        <w:tc>
          <w:tcPr>
            <w:tcW w:w="1981" w:type="dxa"/>
            <w:gridSpan w:val="2"/>
            <w:noWrap w:val="0"/>
            <w:tcMar>
              <w:top w:w="0" w:type="dxa"/>
              <w:left w:w="108" w:type="dxa"/>
              <w:bottom w:w="0" w:type="dxa"/>
              <w:right w:w="108" w:type="dxa"/>
            </w:tcMar>
            <w:vAlign w:val="center"/>
          </w:tcPr>
          <w:p w14:paraId="757CE922">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ascii="黑体" w:hAnsi="黑体" w:eastAsia="黑体"/>
                <w:color w:val="auto"/>
                <w:sz w:val="28"/>
              </w:rPr>
              <w:t>(工程师)</w:t>
            </w:r>
          </w:p>
        </w:tc>
        <w:tc>
          <w:tcPr>
            <w:tcW w:w="3966" w:type="dxa"/>
            <w:gridSpan w:val="2"/>
            <w:noWrap w:val="0"/>
            <w:tcMar>
              <w:top w:w="0" w:type="dxa"/>
              <w:left w:w="108" w:type="dxa"/>
              <w:bottom w:w="0" w:type="dxa"/>
              <w:right w:w="108" w:type="dxa"/>
            </w:tcMar>
            <w:vAlign w:val="center"/>
          </w:tcPr>
          <w:p w14:paraId="4487FC5C">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r>
              <w:rPr>
                <w:rFonts w:ascii="黑体" w:hAnsi="黑体" w:eastAsia="黑体"/>
                <w:color w:val="auto"/>
                <w:sz w:val="28"/>
              </w:rPr>
              <w:t>(编制总则、方案实施保障措施)</w:t>
            </w:r>
          </w:p>
        </w:tc>
        <w:tc>
          <w:tcPr>
            <w:tcW w:w="1947" w:type="dxa"/>
            <w:gridSpan w:val="3"/>
            <w:noWrap w:val="0"/>
            <w:tcMar>
              <w:top w:w="0" w:type="dxa"/>
              <w:left w:w="108" w:type="dxa"/>
              <w:bottom w:w="0" w:type="dxa"/>
              <w:right w:w="108" w:type="dxa"/>
            </w:tcMar>
            <w:vAlign w:val="top"/>
          </w:tcPr>
          <w:p w14:paraId="44E45423">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r>
              <w:rPr>
                <w:color w:val="auto"/>
              </w:rPr>
              <w:drawing>
                <wp:inline distT="0" distB="0" distL="114300" distR="114300">
                  <wp:extent cx="1196340" cy="482600"/>
                  <wp:effectExtent l="0" t="0" r="3810" b="1270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pic:cNvPicPr>
                        </pic:nvPicPr>
                        <pic:blipFill>
                          <a:blip r:embed="rId26"/>
                          <a:stretch>
                            <a:fillRect/>
                          </a:stretch>
                        </pic:blipFill>
                        <pic:spPr>
                          <a:xfrm>
                            <a:off x="0" y="0"/>
                            <a:ext cx="1196340" cy="482600"/>
                          </a:xfrm>
                          <a:prstGeom prst="rect">
                            <a:avLst/>
                          </a:prstGeom>
                          <a:noFill/>
                          <a:ln>
                            <a:noFill/>
                          </a:ln>
                        </pic:spPr>
                      </pic:pic>
                    </a:graphicData>
                  </a:graphic>
                </wp:inline>
              </w:drawing>
            </w:r>
          </w:p>
        </w:tc>
      </w:tr>
      <w:tr w14:paraId="59884E8D">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trHeight w:val="1761" w:hRule="atLeast"/>
        </w:trPr>
        <w:tc>
          <w:tcPr>
            <w:tcW w:w="1104" w:type="dxa"/>
            <w:noWrap w:val="0"/>
            <w:tcMar>
              <w:top w:w="0" w:type="dxa"/>
              <w:left w:w="108" w:type="dxa"/>
              <w:bottom w:w="0" w:type="dxa"/>
              <w:right w:w="108" w:type="dxa"/>
            </w:tcMar>
            <w:vAlign w:val="center"/>
          </w:tcPr>
          <w:p w14:paraId="4152E979">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default" w:ascii="黑体" w:hAnsi="黑体" w:eastAsia="黑体"/>
                <w:color w:val="auto"/>
                <w:sz w:val="28"/>
                <w:lang w:val="en-US" w:eastAsia="zh-CN"/>
              </w:rPr>
            </w:pPr>
            <w:r>
              <w:rPr>
                <w:rFonts w:hint="eastAsia" w:ascii="黑体" w:hAnsi="黑体" w:eastAsia="黑体"/>
                <w:color w:val="auto"/>
                <w:sz w:val="28"/>
                <w:lang w:val="en-US" w:eastAsia="zh-CN"/>
              </w:rPr>
              <w:t>王文艳</w:t>
            </w:r>
          </w:p>
        </w:tc>
        <w:tc>
          <w:tcPr>
            <w:tcW w:w="1981" w:type="dxa"/>
            <w:gridSpan w:val="2"/>
            <w:noWrap w:val="0"/>
            <w:tcMar>
              <w:top w:w="0" w:type="dxa"/>
              <w:left w:w="108" w:type="dxa"/>
              <w:bottom w:w="0" w:type="dxa"/>
              <w:right w:w="108" w:type="dxa"/>
            </w:tcMar>
            <w:vAlign w:val="center"/>
          </w:tcPr>
          <w:p w14:paraId="4189251A">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ascii="黑体" w:hAnsi="黑体" w:eastAsia="黑体"/>
                <w:color w:val="auto"/>
                <w:sz w:val="28"/>
              </w:rPr>
              <w:t>(工程师)</w:t>
            </w:r>
          </w:p>
        </w:tc>
        <w:tc>
          <w:tcPr>
            <w:tcW w:w="3966" w:type="dxa"/>
            <w:gridSpan w:val="2"/>
            <w:noWrap w:val="0"/>
            <w:tcMar>
              <w:top w:w="0" w:type="dxa"/>
              <w:left w:w="108" w:type="dxa"/>
              <w:bottom w:w="0" w:type="dxa"/>
              <w:right w:w="108" w:type="dxa"/>
            </w:tcMar>
            <w:vAlign w:val="center"/>
          </w:tcPr>
          <w:p w14:paraId="01E5B089">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r>
              <w:rPr>
                <w:rFonts w:hint="eastAsia" w:ascii="黑体" w:hAnsi="黑体" w:eastAsia="黑体"/>
                <w:color w:val="auto"/>
                <w:sz w:val="28"/>
              </w:rPr>
              <w:t>（综合说明、项目概况、结论及建议、</w:t>
            </w:r>
            <w:r>
              <w:rPr>
                <w:rFonts w:ascii="黑体" w:hAnsi="黑体" w:eastAsia="黑体"/>
                <w:color w:val="auto"/>
                <w:sz w:val="28"/>
              </w:rPr>
              <w:t>投资概算及效益分析</w:t>
            </w:r>
            <w:r>
              <w:rPr>
                <w:rFonts w:hint="eastAsia" w:ascii="黑体" w:hAnsi="黑体" w:eastAsia="黑体"/>
                <w:color w:val="auto"/>
                <w:sz w:val="28"/>
              </w:rPr>
              <w:t>）</w:t>
            </w:r>
          </w:p>
        </w:tc>
        <w:tc>
          <w:tcPr>
            <w:tcW w:w="1947" w:type="dxa"/>
            <w:gridSpan w:val="3"/>
            <w:noWrap w:val="0"/>
            <w:tcMar>
              <w:top w:w="0" w:type="dxa"/>
              <w:left w:w="108" w:type="dxa"/>
              <w:bottom w:w="0" w:type="dxa"/>
              <w:right w:w="108" w:type="dxa"/>
            </w:tcMar>
            <w:vAlign w:val="top"/>
          </w:tcPr>
          <w:p w14:paraId="2291CBF6">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hint="eastAsia" w:ascii="黑体" w:hAnsi="黑体" w:eastAsia="黑体"/>
                <w:color w:val="auto"/>
                <w:sz w:val="28"/>
                <w:lang w:eastAsia="zh-CN"/>
              </w:rPr>
            </w:pPr>
          </w:p>
          <w:p w14:paraId="4F5B88A7">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r>
              <w:rPr>
                <w:color w:val="auto"/>
              </w:rPr>
              <w:drawing>
                <wp:inline distT="0" distB="0" distL="114300" distR="114300">
                  <wp:extent cx="1021080" cy="61912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7">
                            <a:lum bright="-96000"/>
                          </a:blip>
                          <a:stretch>
                            <a:fillRect/>
                          </a:stretch>
                        </pic:blipFill>
                        <pic:spPr>
                          <a:xfrm>
                            <a:off x="0" y="0"/>
                            <a:ext cx="1021080" cy="619125"/>
                          </a:xfrm>
                          <a:prstGeom prst="rect">
                            <a:avLst/>
                          </a:prstGeom>
                          <a:noFill/>
                          <a:ln>
                            <a:noFill/>
                          </a:ln>
                        </pic:spPr>
                      </pic:pic>
                    </a:graphicData>
                  </a:graphic>
                </wp:inline>
              </w:drawing>
            </w:r>
          </w:p>
        </w:tc>
      </w:tr>
      <w:tr w14:paraId="2EEFD0DE">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trHeight w:val="1134" w:hRule="atLeast"/>
        </w:trPr>
        <w:tc>
          <w:tcPr>
            <w:tcW w:w="1104" w:type="dxa"/>
            <w:noWrap w:val="0"/>
            <w:tcMar>
              <w:top w:w="0" w:type="dxa"/>
              <w:left w:w="108" w:type="dxa"/>
              <w:bottom w:w="0" w:type="dxa"/>
              <w:right w:w="108" w:type="dxa"/>
            </w:tcMar>
            <w:vAlign w:val="center"/>
          </w:tcPr>
          <w:p w14:paraId="2E862801">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default" w:ascii="黑体" w:hAnsi="黑体" w:eastAsia="黑体"/>
                <w:color w:val="auto"/>
                <w:sz w:val="28"/>
                <w:lang w:val="en-US" w:eastAsia="zh-CN"/>
              </w:rPr>
            </w:pPr>
            <w:r>
              <w:rPr>
                <w:rFonts w:hint="eastAsia" w:ascii="黑体" w:hAnsi="黑体" w:eastAsia="黑体"/>
                <w:color w:val="auto"/>
                <w:sz w:val="28"/>
                <w:lang w:val="en-US" w:eastAsia="zh-CN"/>
              </w:rPr>
              <w:t>雷雄</w:t>
            </w:r>
          </w:p>
        </w:tc>
        <w:tc>
          <w:tcPr>
            <w:tcW w:w="1981" w:type="dxa"/>
            <w:gridSpan w:val="2"/>
            <w:noWrap w:val="0"/>
            <w:tcMar>
              <w:top w:w="0" w:type="dxa"/>
              <w:left w:w="108" w:type="dxa"/>
              <w:bottom w:w="0" w:type="dxa"/>
              <w:right w:w="108" w:type="dxa"/>
            </w:tcMar>
            <w:vAlign w:val="center"/>
          </w:tcPr>
          <w:p w14:paraId="2CA83F93">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ascii="黑体" w:hAnsi="黑体" w:eastAsia="黑体"/>
                <w:color w:val="auto"/>
                <w:sz w:val="28"/>
              </w:rPr>
              <w:t>(工程师)</w:t>
            </w:r>
          </w:p>
        </w:tc>
        <w:tc>
          <w:tcPr>
            <w:tcW w:w="3966" w:type="dxa"/>
            <w:gridSpan w:val="2"/>
            <w:noWrap w:val="0"/>
            <w:tcMar>
              <w:top w:w="0" w:type="dxa"/>
              <w:left w:w="108" w:type="dxa"/>
              <w:bottom w:w="0" w:type="dxa"/>
              <w:right w:w="108" w:type="dxa"/>
            </w:tcMar>
            <w:vAlign w:val="center"/>
          </w:tcPr>
          <w:p w14:paraId="72B32A57">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r>
              <w:rPr>
                <w:rFonts w:ascii="黑体" w:hAnsi="黑体" w:eastAsia="黑体"/>
                <w:color w:val="auto"/>
                <w:sz w:val="28"/>
              </w:rPr>
              <w:t>(防治分区</w:t>
            </w:r>
            <w:r>
              <w:rPr>
                <w:rFonts w:hint="eastAsia" w:ascii="黑体" w:hAnsi="黑体" w:eastAsia="黑体"/>
                <w:color w:val="auto"/>
                <w:sz w:val="28"/>
              </w:rPr>
              <w:t>、</w:t>
            </w:r>
            <w:r>
              <w:rPr>
                <w:rFonts w:ascii="黑体" w:hAnsi="黑体" w:eastAsia="黑体"/>
                <w:color w:val="auto"/>
                <w:sz w:val="28"/>
              </w:rPr>
              <w:t>水土保持监测、</w:t>
            </w:r>
            <w:r>
              <w:rPr>
                <w:rFonts w:hint="eastAsia" w:ascii="黑体" w:hAnsi="黑体" w:eastAsia="黑体"/>
                <w:color w:val="auto"/>
                <w:sz w:val="28"/>
              </w:rPr>
              <w:t>水土流失预测、主体工程水土保持分析</w:t>
            </w:r>
            <w:r>
              <w:rPr>
                <w:rFonts w:ascii="黑体" w:hAnsi="黑体" w:eastAsia="黑体"/>
                <w:color w:val="auto"/>
                <w:sz w:val="28"/>
              </w:rPr>
              <w:t>)</w:t>
            </w:r>
          </w:p>
        </w:tc>
        <w:tc>
          <w:tcPr>
            <w:tcW w:w="1947" w:type="dxa"/>
            <w:gridSpan w:val="3"/>
            <w:noWrap w:val="0"/>
            <w:tcMar>
              <w:top w:w="0" w:type="dxa"/>
              <w:left w:w="108" w:type="dxa"/>
              <w:bottom w:w="0" w:type="dxa"/>
              <w:right w:w="108" w:type="dxa"/>
            </w:tcMar>
            <w:vAlign w:val="top"/>
          </w:tcPr>
          <w:p w14:paraId="028DC875">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hint="eastAsia" w:ascii="黑体" w:hAnsi="黑体" w:eastAsia="黑体"/>
                <w:color w:val="auto"/>
                <w:sz w:val="28"/>
                <w:lang w:eastAsia="zh-CN"/>
              </w:rPr>
            </w:pPr>
            <w:r>
              <w:rPr>
                <w:color w:val="auto"/>
              </w:rPr>
              <w:drawing>
                <wp:inline distT="0" distB="0" distL="114300" distR="114300">
                  <wp:extent cx="1287780" cy="684530"/>
                  <wp:effectExtent l="0" t="0" r="7620" b="1270"/>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28"/>
                          <a:stretch>
                            <a:fillRect/>
                          </a:stretch>
                        </pic:blipFill>
                        <pic:spPr>
                          <a:xfrm>
                            <a:off x="0" y="0"/>
                            <a:ext cx="1287780" cy="684530"/>
                          </a:xfrm>
                          <a:prstGeom prst="rect">
                            <a:avLst/>
                          </a:prstGeom>
                          <a:noFill/>
                          <a:ln>
                            <a:noFill/>
                          </a:ln>
                        </pic:spPr>
                      </pic:pic>
                    </a:graphicData>
                  </a:graphic>
                </wp:inline>
              </w:drawing>
            </w:r>
          </w:p>
          <w:p w14:paraId="51E3FC93">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hint="eastAsia" w:ascii="黑体" w:hAnsi="黑体" w:eastAsia="黑体"/>
                <w:color w:val="auto"/>
                <w:sz w:val="28"/>
                <w:lang w:eastAsia="zh-CN"/>
              </w:rPr>
            </w:pPr>
          </w:p>
        </w:tc>
      </w:tr>
      <w:tr w14:paraId="708E0341">
        <w:tblPrEx>
          <w:tblBorders>
            <w:top w:val="none" w:color="auto" w:sz="0" w:space="0"/>
            <w:left w:val="none" w:color="auto" w:sz="0" w:space="0"/>
            <w:bottom w:val="none" w:color="auto" w:sz="0" w:space="0"/>
            <w:right w:val="none" w:color="auto" w:sz="0" w:space="0"/>
            <w:insideH w:val="none" w:color="auto" w:sz="4" w:space="0"/>
            <w:insideV w:val="none" w:color="auto" w:sz="4" w:space="0"/>
          </w:tblBorders>
          <w:tblCellMar>
            <w:top w:w="0" w:type="dxa"/>
            <w:left w:w="0" w:type="dxa"/>
            <w:bottom w:w="0" w:type="dxa"/>
            <w:right w:w="0" w:type="dxa"/>
          </w:tblCellMar>
        </w:tblPrEx>
        <w:trPr>
          <w:trHeight w:val="1134" w:hRule="atLeast"/>
        </w:trPr>
        <w:tc>
          <w:tcPr>
            <w:tcW w:w="1104" w:type="dxa"/>
            <w:noWrap w:val="0"/>
            <w:tcMar>
              <w:top w:w="0" w:type="dxa"/>
              <w:left w:w="108" w:type="dxa"/>
              <w:bottom w:w="0" w:type="dxa"/>
              <w:right w:w="108" w:type="dxa"/>
            </w:tcMar>
            <w:vAlign w:val="center"/>
          </w:tcPr>
          <w:p w14:paraId="74DC226F">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hint="default" w:ascii="黑体" w:hAnsi="黑体" w:eastAsia="黑体"/>
                <w:color w:val="auto"/>
                <w:sz w:val="28"/>
                <w:lang w:val="en-US" w:eastAsia="zh-CN"/>
              </w:rPr>
            </w:pPr>
            <w:r>
              <w:rPr>
                <w:rFonts w:hint="eastAsia" w:ascii="黑体" w:hAnsi="黑体" w:eastAsia="黑体"/>
                <w:color w:val="auto"/>
                <w:sz w:val="28"/>
                <w:lang w:val="en-US" w:eastAsia="zh-CN"/>
              </w:rPr>
              <w:t>赵诗淇</w:t>
            </w:r>
          </w:p>
        </w:tc>
        <w:tc>
          <w:tcPr>
            <w:tcW w:w="1981" w:type="dxa"/>
            <w:gridSpan w:val="2"/>
            <w:noWrap w:val="0"/>
            <w:tcMar>
              <w:top w:w="0" w:type="dxa"/>
              <w:left w:w="108" w:type="dxa"/>
              <w:bottom w:w="0" w:type="dxa"/>
              <w:right w:w="108" w:type="dxa"/>
            </w:tcMar>
            <w:vAlign w:val="center"/>
          </w:tcPr>
          <w:p w14:paraId="6C6F89AB">
            <w:pPr>
              <w:keepNext w:val="0"/>
              <w:keepLines w:val="0"/>
              <w:pageBreakBefore w:val="0"/>
              <w:widowControl/>
              <w:kinsoku/>
              <w:wordWrap/>
              <w:overflowPunct/>
              <w:topLinePunct w:val="0"/>
              <w:autoSpaceDE/>
              <w:autoSpaceDN/>
              <w:bidi w:val="0"/>
              <w:adjustRightInd/>
              <w:snapToGrid/>
              <w:ind w:firstLine="0" w:firstLineChars="0"/>
              <w:jc w:val="distribute"/>
              <w:textAlignment w:val="auto"/>
              <w:rPr>
                <w:rFonts w:ascii="黑体" w:hAnsi="黑体" w:eastAsia="黑体"/>
                <w:color w:val="auto"/>
                <w:sz w:val="28"/>
              </w:rPr>
            </w:pPr>
            <w:r>
              <w:rPr>
                <w:rFonts w:ascii="黑体" w:hAnsi="黑体" w:eastAsia="黑体"/>
                <w:color w:val="auto"/>
                <w:sz w:val="28"/>
              </w:rPr>
              <w:t>(工程师)</w:t>
            </w:r>
          </w:p>
        </w:tc>
        <w:tc>
          <w:tcPr>
            <w:tcW w:w="3966" w:type="dxa"/>
            <w:gridSpan w:val="2"/>
            <w:noWrap w:val="0"/>
            <w:tcMar>
              <w:top w:w="0" w:type="dxa"/>
              <w:left w:w="108" w:type="dxa"/>
              <w:bottom w:w="0" w:type="dxa"/>
              <w:right w:w="108" w:type="dxa"/>
            </w:tcMar>
            <w:vAlign w:val="center"/>
          </w:tcPr>
          <w:p w14:paraId="6F963348">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ascii="黑体" w:hAnsi="黑体" w:eastAsia="黑体"/>
                <w:color w:val="auto"/>
                <w:sz w:val="28"/>
              </w:rPr>
            </w:pPr>
            <w:r>
              <w:rPr>
                <w:rFonts w:ascii="黑体" w:hAnsi="黑体" w:eastAsia="黑体"/>
                <w:color w:val="auto"/>
                <w:sz w:val="28"/>
              </w:rPr>
              <w:t>(项目区概况、防治措施布设</w:t>
            </w:r>
            <w:r>
              <w:rPr>
                <w:rFonts w:hint="eastAsia" w:ascii="黑体" w:hAnsi="黑体" w:eastAsia="黑体"/>
                <w:color w:val="auto"/>
                <w:sz w:val="28"/>
              </w:rPr>
              <w:t>、</w:t>
            </w:r>
            <w:r>
              <w:rPr>
                <w:rFonts w:ascii="黑体" w:hAnsi="黑体" w:eastAsia="黑体"/>
                <w:color w:val="auto"/>
                <w:sz w:val="28"/>
              </w:rPr>
              <w:t>工程制图)</w:t>
            </w:r>
          </w:p>
        </w:tc>
        <w:tc>
          <w:tcPr>
            <w:tcW w:w="1947" w:type="dxa"/>
            <w:gridSpan w:val="3"/>
            <w:noWrap w:val="0"/>
            <w:tcMar>
              <w:top w:w="0" w:type="dxa"/>
              <w:left w:w="108" w:type="dxa"/>
              <w:bottom w:w="0" w:type="dxa"/>
              <w:right w:w="108" w:type="dxa"/>
            </w:tcMar>
            <w:vAlign w:val="top"/>
          </w:tcPr>
          <w:p w14:paraId="350C2A13">
            <w:pPr>
              <w:keepNext w:val="0"/>
              <w:keepLines w:val="0"/>
              <w:pageBreakBefore w:val="0"/>
              <w:widowControl/>
              <w:kinsoku/>
              <w:wordWrap/>
              <w:overflowPunct/>
              <w:topLinePunct w:val="0"/>
              <w:autoSpaceDE/>
              <w:autoSpaceDN/>
              <w:bidi w:val="0"/>
              <w:adjustRightInd/>
              <w:snapToGrid/>
              <w:ind w:firstLine="0" w:firstLineChars="0"/>
              <w:jc w:val="left"/>
              <w:textAlignment w:val="auto"/>
              <w:rPr>
                <w:rFonts w:hint="eastAsia" w:ascii="黑体" w:hAnsi="黑体" w:eastAsia="黑体"/>
                <w:color w:val="auto"/>
                <w:sz w:val="28"/>
                <w:lang w:eastAsia="zh-CN"/>
              </w:rPr>
            </w:pPr>
            <w:r>
              <w:rPr>
                <w:color w:val="auto"/>
              </w:rPr>
              <w:drawing>
                <wp:inline distT="0" distB="0" distL="114300" distR="114300">
                  <wp:extent cx="1211580" cy="507365"/>
                  <wp:effectExtent l="0" t="0" r="7620" b="698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pic:cNvPicPr>
                            <a:picLocks noChangeAspect="1"/>
                          </pic:cNvPicPr>
                        </pic:nvPicPr>
                        <pic:blipFill>
                          <a:blip r:embed="rId25"/>
                          <a:stretch>
                            <a:fillRect/>
                          </a:stretch>
                        </pic:blipFill>
                        <pic:spPr>
                          <a:xfrm>
                            <a:off x="0" y="0"/>
                            <a:ext cx="1211580" cy="507365"/>
                          </a:xfrm>
                          <a:prstGeom prst="rect">
                            <a:avLst/>
                          </a:prstGeom>
                          <a:noFill/>
                          <a:ln>
                            <a:noFill/>
                          </a:ln>
                        </pic:spPr>
                      </pic:pic>
                    </a:graphicData>
                  </a:graphic>
                </wp:inline>
              </w:drawing>
            </w:r>
          </w:p>
        </w:tc>
      </w:tr>
    </w:tbl>
    <w:p w14:paraId="7971050A">
      <w:pPr>
        <w:keepNext w:val="0"/>
        <w:keepLines w:val="0"/>
        <w:pageBreakBefore w:val="0"/>
        <w:widowControl w:val="0"/>
        <w:kinsoku/>
        <w:wordWrap/>
        <w:overflowPunct/>
        <w:topLinePunct w:val="0"/>
        <w:autoSpaceDE/>
        <w:autoSpaceDN/>
        <w:bidi w:val="0"/>
        <w:adjustRightInd/>
        <w:snapToGrid/>
        <w:spacing w:line="1000" w:lineRule="exact"/>
        <w:ind w:left="0" w:leftChars="0" w:firstLine="0" w:firstLineChars="0"/>
        <w:textAlignment w:val="auto"/>
        <w:rPr>
          <w:color w:val="0000FF"/>
          <w:szCs w:val="28"/>
        </w:rPr>
      </w:pPr>
    </w:p>
    <w:p w14:paraId="1B6702FC">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b/>
          <w:bCs/>
          <w:color w:val="auto"/>
          <w:sz w:val="30"/>
          <w:szCs w:val="30"/>
          <w:lang w:eastAsia="zh-CN"/>
        </w:rPr>
      </w:pPr>
      <w:r>
        <w:rPr>
          <w:rFonts w:hint="eastAsia"/>
          <w:b/>
          <w:bCs/>
          <w:color w:val="auto"/>
          <w:sz w:val="30"/>
          <w:szCs w:val="30"/>
          <w:lang w:eastAsia="zh-CN"/>
        </w:rPr>
        <w:t>项目区照片</w:t>
      </w:r>
    </w:p>
    <w:tbl>
      <w:tblPr>
        <w:tblStyle w:val="26"/>
        <w:tblW w:w="928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8"/>
      </w:tblGrid>
      <w:tr w14:paraId="732209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30" w:hRule="atLeast"/>
          <w:jc w:val="center"/>
        </w:trPr>
        <w:tc>
          <w:tcPr>
            <w:tcW w:w="9288" w:type="dxa"/>
            <w:tcBorders>
              <w:tl2br w:val="nil"/>
              <w:tr2bl w:val="nil"/>
            </w:tcBorders>
            <w:vAlign w:val="center"/>
          </w:tcPr>
          <w:p w14:paraId="2BC0522F">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olor w:val="auto"/>
                <w:vertAlign w:val="baseline"/>
                <w:lang w:eastAsia="zh-CN"/>
              </w:rPr>
            </w:pPr>
            <w:r>
              <w:rPr>
                <w:color w:val="auto"/>
              </w:rPr>
              <w:drawing>
                <wp:inline distT="0" distB="0" distL="114300" distR="114300">
                  <wp:extent cx="2747010" cy="2059305"/>
                  <wp:effectExtent l="0" t="0" r="15240" b="17145"/>
                  <wp:docPr id="7" name="图片 11"/>
                  <wp:cNvGraphicFramePr/>
                  <a:graphic xmlns:a="http://schemas.openxmlformats.org/drawingml/2006/main">
                    <a:graphicData uri="http://schemas.openxmlformats.org/drawingml/2006/picture">
                      <pic:pic xmlns:pic="http://schemas.openxmlformats.org/drawingml/2006/picture">
                        <pic:nvPicPr>
                          <pic:cNvPr id="7" name="图片 11"/>
                          <pic:cNvPicPr/>
                        </pic:nvPicPr>
                        <pic:blipFill>
                          <a:blip r:embed="rId29"/>
                          <a:stretch>
                            <a:fillRect/>
                          </a:stretch>
                        </pic:blipFill>
                        <pic:spPr>
                          <a:xfrm>
                            <a:off x="0" y="0"/>
                            <a:ext cx="2747010" cy="2059305"/>
                          </a:xfrm>
                          <a:prstGeom prst="rect">
                            <a:avLst/>
                          </a:prstGeom>
                          <a:noFill/>
                          <a:ln>
                            <a:noFill/>
                          </a:ln>
                        </pic:spPr>
                      </pic:pic>
                    </a:graphicData>
                  </a:graphic>
                </wp:inline>
              </w:drawing>
            </w:r>
          </w:p>
        </w:tc>
      </w:tr>
      <w:tr w14:paraId="068BAE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2" w:hRule="atLeast"/>
          <w:jc w:val="center"/>
        </w:trPr>
        <w:tc>
          <w:tcPr>
            <w:tcW w:w="9288" w:type="dxa"/>
            <w:tcBorders>
              <w:tl2br w:val="nil"/>
              <w:tr2bl w:val="nil"/>
            </w:tcBorders>
            <w:vAlign w:val="center"/>
          </w:tcPr>
          <w:p w14:paraId="3C235128">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color w:val="auto"/>
                <w:vertAlign w:val="baseline"/>
                <w:lang w:val="en-US" w:eastAsia="zh-CN"/>
              </w:rPr>
            </w:pPr>
            <w:r>
              <w:rPr>
                <w:rFonts w:hint="eastAsia"/>
                <w:color w:val="auto"/>
                <w:lang w:val="en-US" w:eastAsia="zh-CN"/>
              </w:rPr>
              <w:t>项目区现状</w:t>
            </w:r>
          </w:p>
        </w:tc>
      </w:tr>
      <w:tr w14:paraId="5C3E62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2" w:hRule="atLeast"/>
          <w:jc w:val="center"/>
        </w:trPr>
        <w:tc>
          <w:tcPr>
            <w:tcW w:w="9288" w:type="dxa"/>
            <w:tcBorders>
              <w:tl2br w:val="nil"/>
              <w:tr2bl w:val="nil"/>
            </w:tcBorders>
            <w:vAlign w:val="center"/>
          </w:tcPr>
          <w:p w14:paraId="5F230BC0">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olor w:val="auto"/>
                <w:lang w:val="en-US" w:eastAsia="zh-CN"/>
              </w:rPr>
            </w:pPr>
            <w:bookmarkStart w:id="4" w:name="_Toc18974"/>
            <w:bookmarkStart w:id="5" w:name="_Toc9269"/>
            <w:bookmarkStart w:id="6" w:name="_Toc13533"/>
            <w:r>
              <w:rPr>
                <w:rFonts w:hint="eastAsia" w:ascii="宋体" w:hAnsi="宋体" w:eastAsia="宋体"/>
                <w:color w:val="auto"/>
                <w:sz w:val="28"/>
                <w:vertAlign w:val="baseline"/>
                <w:lang w:val="en-US" w:eastAsia="zh-CN"/>
              </w:rPr>
              <w:drawing>
                <wp:inline distT="0" distB="0" distL="114300" distR="114300">
                  <wp:extent cx="2747010" cy="2059305"/>
                  <wp:effectExtent l="0" t="0" r="15240" b="17145"/>
                  <wp:docPr id="9" name="图片 12" descr="824400934ee88fe82684786e3fa4ef2"/>
                  <wp:cNvGraphicFramePr/>
                  <a:graphic xmlns:a="http://schemas.openxmlformats.org/drawingml/2006/main">
                    <a:graphicData uri="http://schemas.openxmlformats.org/drawingml/2006/picture">
                      <pic:pic xmlns:pic="http://schemas.openxmlformats.org/drawingml/2006/picture">
                        <pic:nvPicPr>
                          <pic:cNvPr id="9" name="图片 12" descr="824400934ee88fe82684786e3fa4ef2"/>
                          <pic:cNvPicPr/>
                        </pic:nvPicPr>
                        <pic:blipFill>
                          <a:blip r:embed="rId30"/>
                          <a:stretch>
                            <a:fillRect/>
                          </a:stretch>
                        </pic:blipFill>
                        <pic:spPr>
                          <a:xfrm>
                            <a:off x="0" y="0"/>
                            <a:ext cx="2747010" cy="2059305"/>
                          </a:xfrm>
                          <a:prstGeom prst="rect">
                            <a:avLst/>
                          </a:prstGeom>
                          <a:noFill/>
                          <a:ln>
                            <a:noFill/>
                          </a:ln>
                        </pic:spPr>
                      </pic:pic>
                    </a:graphicData>
                  </a:graphic>
                </wp:inline>
              </w:drawing>
            </w:r>
          </w:p>
        </w:tc>
      </w:tr>
      <w:tr w14:paraId="53D31D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2" w:hRule="atLeast"/>
          <w:jc w:val="center"/>
        </w:trPr>
        <w:tc>
          <w:tcPr>
            <w:tcW w:w="9288" w:type="dxa"/>
            <w:tcBorders>
              <w:tl2br w:val="nil"/>
              <w:tr2bl w:val="nil"/>
            </w:tcBorders>
            <w:vAlign w:val="center"/>
          </w:tcPr>
          <w:p w14:paraId="2D75399B">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color w:val="auto"/>
                <w:lang w:val="en-US" w:eastAsia="zh-CN"/>
              </w:rPr>
            </w:pPr>
            <w:r>
              <w:rPr>
                <w:rFonts w:hint="eastAsia"/>
                <w:color w:val="auto"/>
                <w:lang w:val="en-US" w:eastAsia="zh-CN"/>
              </w:rPr>
              <w:t>项目区现状</w:t>
            </w:r>
          </w:p>
        </w:tc>
      </w:tr>
    </w:tbl>
    <w:p w14:paraId="03540A3F">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rPr>
          <w:rFonts w:hint="default"/>
          <w:color w:val="0000FF"/>
          <w:lang w:val="en-US" w:eastAsia="zh-CN"/>
        </w:rPr>
        <w:sectPr>
          <w:headerReference r:id="rId5" w:type="default"/>
          <w:footerReference r:id="rId6" w:type="default"/>
          <w:pgSz w:w="11906" w:h="16838"/>
          <w:pgMar w:top="1417" w:right="1417" w:bottom="1417" w:left="1417" w:header="1134" w:footer="1134" w:gutter="0"/>
          <w:pgBorders>
            <w:top w:val="none" w:sz="0" w:space="0"/>
            <w:left w:val="none" w:sz="0" w:space="0"/>
            <w:bottom w:val="none" w:sz="0" w:space="0"/>
            <w:right w:val="none" w:sz="0" w:space="0"/>
          </w:pgBorders>
          <w:pgNumType w:fmt="decimal" w:start="1"/>
          <w:cols w:space="425" w:num="1"/>
          <w:docGrid w:type="lines" w:linePitch="312" w:charSpace="0"/>
        </w:sectPr>
      </w:pPr>
    </w:p>
    <w:p w14:paraId="25A6C475">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Times New Roman" w:hAnsi="Times New Roman" w:eastAsia="仿宋_GB2312" w:cstheme="minorBidi"/>
          <w:color w:val="auto"/>
          <w:kern w:val="2"/>
          <w:sz w:val="24"/>
          <w:szCs w:val="24"/>
          <w:lang w:val="en-US" w:eastAsia="zh-CN" w:bidi="ar-SA"/>
        </w:rPr>
      </w:pPr>
      <w:bookmarkStart w:id="7" w:name="_Toc5151"/>
      <w:r>
        <w:rPr>
          <w:rFonts w:hint="eastAsia" w:ascii="黑体" w:hAnsi="黑体" w:eastAsia="黑体" w:cs="黑体"/>
          <w:color w:val="auto"/>
          <w:sz w:val="30"/>
          <w:szCs w:val="30"/>
        </w:rPr>
        <w:t>目 录</w:t>
      </w:r>
      <w:bookmarkEnd w:id="4"/>
      <w:bookmarkEnd w:id="5"/>
      <w:bookmarkEnd w:id="6"/>
      <w:bookmarkEnd w:id="7"/>
      <w:r>
        <w:rPr>
          <w:color w:val="auto"/>
          <w:sz w:val="28"/>
          <w:szCs w:val="28"/>
        </w:rPr>
        <w:fldChar w:fldCharType="begin"/>
      </w:r>
      <w:r>
        <w:rPr>
          <w:color w:val="auto"/>
          <w:sz w:val="28"/>
          <w:szCs w:val="28"/>
        </w:rPr>
        <w:instrText xml:space="preserve">TOC \o "1-2" \h \u </w:instrText>
      </w:r>
      <w:r>
        <w:rPr>
          <w:color w:val="auto"/>
          <w:sz w:val="28"/>
          <w:szCs w:val="28"/>
        </w:rPr>
        <w:fldChar w:fldCharType="separate"/>
      </w:r>
    </w:p>
    <w:p w14:paraId="18DC0FFB">
      <w:pPr>
        <w:pStyle w:val="18"/>
        <w:tabs>
          <w:tab w:val="right" w:leader="dot" w:pos="9072"/>
        </w:tabs>
      </w:pPr>
      <w:r>
        <w:rPr>
          <w:color w:val="auto"/>
        </w:rPr>
        <w:fldChar w:fldCharType="begin"/>
      </w:r>
      <w:r>
        <w:instrText xml:space="preserve"> HYPERLINK \l _Toc11753 </w:instrText>
      </w:r>
      <w:r>
        <w:fldChar w:fldCharType="separate"/>
      </w:r>
      <w:r>
        <w:rPr>
          <w:rFonts w:hint="eastAsia"/>
        </w:rPr>
        <w:t>1 综合说明</w:t>
      </w:r>
      <w:r>
        <w:tab/>
      </w:r>
      <w:r>
        <w:fldChar w:fldCharType="begin"/>
      </w:r>
      <w:r>
        <w:instrText xml:space="preserve"> PAGEREF _Toc11753 \h </w:instrText>
      </w:r>
      <w:r>
        <w:fldChar w:fldCharType="separate"/>
      </w:r>
      <w:r>
        <w:t>1</w:t>
      </w:r>
      <w:r>
        <w:fldChar w:fldCharType="end"/>
      </w:r>
      <w:r>
        <w:rPr>
          <w:color w:val="auto"/>
        </w:rPr>
        <w:fldChar w:fldCharType="end"/>
      </w:r>
    </w:p>
    <w:p w14:paraId="2DEC2C24">
      <w:pPr>
        <w:pStyle w:val="19"/>
        <w:tabs>
          <w:tab w:val="right" w:leader="dot" w:pos="9072"/>
        </w:tabs>
      </w:pPr>
      <w:r>
        <w:rPr>
          <w:color w:val="auto"/>
        </w:rPr>
        <w:fldChar w:fldCharType="begin"/>
      </w:r>
      <w:r>
        <w:instrText xml:space="preserve"> HYPERLINK \l _Toc11315 </w:instrText>
      </w:r>
      <w:r>
        <w:fldChar w:fldCharType="separate"/>
      </w:r>
      <w:r>
        <w:rPr>
          <w:rFonts w:hint="default"/>
        </w:rPr>
        <w:t xml:space="preserve">1.1 </w:t>
      </w:r>
      <w:r>
        <w:rPr>
          <w:rFonts w:hint="eastAsia"/>
        </w:rPr>
        <w:t>项目简况</w:t>
      </w:r>
      <w:r>
        <w:tab/>
      </w:r>
      <w:r>
        <w:fldChar w:fldCharType="begin"/>
      </w:r>
      <w:r>
        <w:instrText xml:space="preserve"> PAGEREF _Toc11315 \h </w:instrText>
      </w:r>
      <w:r>
        <w:fldChar w:fldCharType="separate"/>
      </w:r>
      <w:r>
        <w:t>1</w:t>
      </w:r>
      <w:r>
        <w:fldChar w:fldCharType="end"/>
      </w:r>
      <w:r>
        <w:rPr>
          <w:color w:val="auto"/>
        </w:rPr>
        <w:fldChar w:fldCharType="end"/>
      </w:r>
    </w:p>
    <w:p w14:paraId="712EDBC0">
      <w:pPr>
        <w:pStyle w:val="19"/>
        <w:tabs>
          <w:tab w:val="right" w:leader="dot" w:pos="9072"/>
        </w:tabs>
      </w:pPr>
      <w:r>
        <w:rPr>
          <w:color w:val="auto"/>
        </w:rPr>
        <w:fldChar w:fldCharType="begin"/>
      </w:r>
      <w:r>
        <w:instrText xml:space="preserve"> HYPERLINK \l _Toc22361 </w:instrText>
      </w:r>
      <w:r>
        <w:fldChar w:fldCharType="separate"/>
      </w:r>
      <w:r>
        <w:rPr>
          <w:rFonts w:hint="default"/>
        </w:rPr>
        <w:t xml:space="preserve">1.2 </w:t>
      </w:r>
      <w:r>
        <w:rPr>
          <w:rFonts w:hint="eastAsia"/>
        </w:rPr>
        <w:t>编制依据</w:t>
      </w:r>
      <w:r>
        <w:tab/>
      </w:r>
      <w:r>
        <w:fldChar w:fldCharType="begin"/>
      </w:r>
      <w:r>
        <w:instrText xml:space="preserve"> PAGEREF _Toc22361 \h </w:instrText>
      </w:r>
      <w:r>
        <w:fldChar w:fldCharType="separate"/>
      </w:r>
      <w:r>
        <w:t>2</w:t>
      </w:r>
      <w:r>
        <w:fldChar w:fldCharType="end"/>
      </w:r>
      <w:r>
        <w:rPr>
          <w:color w:val="auto"/>
        </w:rPr>
        <w:fldChar w:fldCharType="end"/>
      </w:r>
    </w:p>
    <w:p w14:paraId="08A826A9">
      <w:pPr>
        <w:pStyle w:val="19"/>
        <w:tabs>
          <w:tab w:val="right" w:leader="dot" w:pos="9072"/>
        </w:tabs>
      </w:pPr>
      <w:r>
        <w:rPr>
          <w:color w:val="auto"/>
        </w:rPr>
        <w:fldChar w:fldCharType="begin"/>
      </w:r>
      <w:r>
        <w:instrText xml:space="preserve"> HYPERLINK \l _Toc4934 </w:instrText>
      </w:r>
      <w:r>
        <w:fldChar w:fldCharType="separate"/>
      </w:r>
      <w:r>
        <w:rPr>
          <w:rFonts w:hint="default"/>
        </w:rPr>
        <w:t xml:space="preserve">1.3 </w:t>
      </w:r>
      <w:r>
        <w:rPr>
          <w:rFonts w:hint="eastAsia"/>
        </w:rPr>
        <w:t>设计水平年</w:t>
      </w:r>
      <w:r>
        <w:tab/>
      </w:r>
      <w:r>
        <w:fldChar w:fldCharType="begin"/>
      </w:r>
      <w:r>
        <w:instrText xml:space="preserve"> PAGEREF _Toc4934 \h </w:instrText>
      </w:r>
      <w:r>
        <w:fldChar w:fldCharType="separate"/>
      </w:r>
      <w:r>
        <w:t>4</w:t>
      </w:r>
      <w:r>
        <w:fldChar w:fldCharType="end"/>
      </w:r>
      <w:r>
        <w:rPr>
          <w:color w:val="auto"/>
        </w:rPr>
        <w:fldChar w:fldCharType="end"/>
      </w:r>
    </w:p>
    <w:p w14:paraId="5B0DFA03">
      <w:pPr>
        <w:pStyle w:val="19"/>
        <w:tabs>
          <w:tab w:val="right" w:leader="dot" w:pos="9072"/>
        </w:tabs>
      </w:pPr>
      <w:r>
        <w:rPr>
          <w:color w:val="auto"/>
        </w:rPr>
        <w:fldChar w:fldCharType="begin"/>
      </w:r>
      <w:r>
        <w:instrText xml:space="preserve"> HYPERLINK \l _Toc22798 </w:instrText>
      </w:r>
      <w:r>
        <w:fldChar w:fldCharType="separate"/>
      </w:r>
      <w:r>
        <w:rPr>
          <w:rFonts w:hint="default"/>
        </w:rPr>
        <w:t xml:space="preserve">1.4 </w:t>
      </w:r>
      <w:r>
        <w:rPr>
          <w:rFonts w:hint="eastAsia"/>
        </w:rPr>
        <w:t>水土流失防治责任范围</w:t>
      </w:r>
      <w:r>
        <w:tab/>
      </w:r>
      <w:r>
        <w:fldChar w:fldCharType="begin"/>
      </w:r>
      <w:r>
        <w:instrText xml:space="preserve"> PAGEREF _Toc22798 \h </w:instrText>
      </w:r>
      <w:r>
        <w:fldChar w:fldCharType="separate"/>
      </w:r>
      <w:r>
        <w:t>4</w:t>
      </w:r>
      <w:r>
        <w:fldChar w:fldCharType="end"/>
      </w:r>
      <w:r>
        <w:rPr>
          <w:color w:val="auto"/>
        </w:rPr>
        <w:fldChar w:fldCharType="end"/>
      </w:r>
    </w:p>
    <w:p w14:paraId="2CA0214E">
      <w:pPr>
        <w:pStyle w:val="19"/>
        <w:tabs>
          <w:tab w:val="right" w:leader="dot" w:pos="9072"/>
        </w:tabs>
      </w:pPr>
      <w:r>
        <w:rPr>
          <w:color w:val="auto"/>
        </w:rPr>
        <w:fldChar w:fldCharType="begin"/>
      </w:r>
      <w:r>
        <w:instrText xml:space="preserve"> HYPERLINK \l _Toc17916 </w:instrText>
      </w:r>
      <w:r>
        <w:fldChar w:fldCharType="separate"/>
      </w:r>
      <w:r>
        <w:rPr>
          <w:rFonts w:hint="default"/>
        </w:rPr>
        <w:t xml:space="preserve">1.5 </w:t>
      </w:r>
      <w:r>
        <w:rPr>
          <w:rFonts w:hint="eastAsia"/>
        </w:rPr>
        <w:t>水土流失防治目标</w:t>
      </w:r>
      <w:r>
        <w:tab/>
      </w:r>
      <w:r>
        <w:fldChar w:fldCharType="begin"/>
      </w:r>
      <w:r>
        <w:instrText xml:space="preserve"> PAGEREF _Toc17916 \h </w:instrText>
      </w:r>
      <w:r>
        <w:fldChar w:fldCharType="separate"/>
      </w:r>
      <w:r>
        <w:t>4</w:t>
      </w:r>
      <w:r>
        <w:fldChar w:fldCharType="end"/>
      </w:r>
      <w:r>
        <w:rPr>
          <w:color w:val="auto"/>
        </w:rPr>
        <w:fldChar w:fldCharType="end"/>
      </w:r>
    </w:p>
    <w:p w14:paraId="7C73FCF3">
      <w:pPr>
        <w:pStyle w:val="19"/>
        <w:tabs>
          <w:tab w:val="right" w:leader="dot" w:pos="9072"/>
        </w:tabs>
      </w:pPr>
      <w:r>
        <w:rPr>
          <w:color w:val="auto"/>
        </w:rPr>
        <w:fldChar w:fldCharType="begin"/>
      </w:r>
      <w:r>
        <w:instrText xml:space="preserve"> HYPERLINK \l _Toc911 </w:instrText>
      </w:r>
      <w:r>
        <w:fldChar w:fldCharType="separate"/>
      </w:r>
      <w:r>
        <w:rPr>
          <w:rFonts w:hint="default"/>
        </w:rPr>
        <w:t xml:space="preserve">1.6 </w:t>
      </w:r>
      <w:r>
        <w:rPr>
          <w:rFonts w:hint="eastAsia"/>
          <w:highlight w:val="none"/>
        </w:rPr>
        <w:t>项目水土保持评价结论</w:t>
      </w:r>
      <w:r>
        <w:tab/>
      </w:r>
      <w:r>
        <w:fldChar w:fldCharType="begin"/>
      </w:r>
      <w:r>
        <w:instrText xml:space="preserve"> PAGEREF _Toc911 \h </w:instrText>
      </w:r>
      <w:r>
        <w:fldChar w:fldCharType="separate"/>
      </w:r>
      <w:r>
        <w:t>6</w:t>
      </w:r>
      <w:r>
        <w:fldChar w:fldCharType="end"/>
      </w:r>
      <w:r>
        <w:rPr>
          <w:color w:val="auto"/>
        </w:rPr>
        <w:fldChar w:fldCharType="end"/>
      </w:r>
    </w:p>
    <w:p w14:paraId="1714FEC4">
      <w:pPr>
        <w:pStyle w:val="19"/>
        <w:tabs>
          <w:tab w:val="right" w:leader="dot" w:pos="9072"/>
        </w:tabs>
      </w:pPr>
      <w:r>
        <w:rPr>
          <w:color w:val="auto"/>
        </w:rPr>
        <w:fldChar w:fldCharType="begin"/>
      </w:r>
      <w:r>
        <w:instrText xml:space="preserve"> HYPERLINK \l _Toc16429 </w:instrText>
      </w:r>
      <w:r>
        <w:fldChar w:fldCharType="separate"/>
      </w:r>
      <w:r>
        <w:rPr>
          <w:rFonts w:hint="default"/>
        </w:rPr>
        <w:t xml:space="preserve">1.7 </w:t>
      </w:r>
      <w:r>
        <w:rPr>
          <w:rFonts w:hint="eastAsia"/>
        </w:rPr>
        <w:t>水土流失</w:t>
      </w:r>
      <w:r>
        <w:rPr>
          <w:rFonts w:hint="eastAsia"/>
          <w:lang w:val="en-US" w:eastAsia="zh-CN"/>
        </w:rPr>
        <w:t>预测</w:t>
      </w:r>
      <w:r>
        <w:rPr>
          <w:rFonts w:hint="eastAsia"/>
        </w:rPr>
        <w:t>结果</w:t>
      </w:r>
      <w:r>
        <w:tab/>
      </w:r>
      <w:r>
        <w:fldChar w:fldCharType="begin"/>
      </w:r>
      <w:r>
        <w:instrText xml:space="preserve"> PAGEREF _Toc16429 \h </w:instrText>
      </w:r>
      <w:r>
        <w:fldChar w:fldCharType="separate"/>
      </w:r>
      <w:r>
        <w:t>8</w:t>
      </w:r>
      <w:r>
        <w:fldChar w:fldCharType="end"/>
      </w:r>
      <w:r>
        <w:rPr>
          <w:color w:val="auto"/>
        </w:rPr>
        <w:fldChar w:fldCharType="end"/>
      </w:r>
    </w:p>
    <w:p w14:paraId="5823AA12">
      <w:pPr>
        <w:pStyle w:val="19"/>
        <w:tabs>
          <w:tab w:val="right" w:leader="dot" w:pos="9072"/>
        </w:tabs>
      </w:pPr>
      <w:r>
        <w:rPr>
          <w:color w:val="auto"/>
        </w:rPr>
        <w:fldChar w:fldCharType="begin"/>
      </w:r>
      <w:r>
        <w:instrText xml:space="preserve"> HYPERLINK \l _Toc25343 </w:instrText>
      </w:r>
      <w:r>
        <w:fldChar w:fldCharType="separate"/>
      </w:r>
      <w:r>
        <w:rPr>
          <w:rFonts w:hint="default"/>
        </w:rPr>
        <w:t xml:space="preserve">1.8 </w:t>
      </w:r>
      <w:r>
        <w:rPr>
          <w:rFonts w:hint="eastAsia"/>
        </w:rPr>
        <w:t>水土保持措施布设成果</w:t>
      </w:r>
      <w:r>
        <w:tab/>
      </w:r>
      <w:r>
        <w:fldChar w:fldCharType="begin"/>
      </w:r>
      <w:r>
        <w:instrText xml:space="preserve"> PAGEREF _Toc25343 \h </w:instrText>
      </w:r>
      <w:r>
        <w:fldChar w:fldCharType="separate"/>
      </w:r>
      <w:r>
        <w:t>9</w:t>
      </w:r>
      <w:r>
        <w:fldChar w:fldCharType="end"/>
      </w:r>
      <w:r>
        <w:rPr>
          <w:color w:val="auto"/>
        </w:rPr>
        <w:fldChar w:fldCharType="end"/>
      </w:r>
    </w:p>
    <w:p w14:paraId="7D5762D6">
      <w:pPr>
        <w:pStyle w:val="19"/>
        <w:tabs>
          <w:tab w:val="right" w:leader="dot" w:pos="9072"/>
        </w:tabs>
      </w:pPr>
      <w:r>
        <w:rPr>
          <w:color w:val="auto"/>
        </w:rPr>
        <w:fldChar w:fldCharType="begin"/>
      </w:r>
      <w:r>
        <w:instrText xml:space="preserve"> HYPERLINK \l _Toc1652 </w:instrText>
      </w:r>
      <w:r>
        <w:fldChar w:fldCharType="separate"/>
      </w:r>
      <w:r>
        <w:rPr>
          <w:rFonts w:hint="default"/>
        </w:rPr>
        <w:t xml:space="preserve">1.9 </w:t>
      </w:r>
      <w:r>
        <w:rPr>
          <w:rFonts w:hint="eastAsia"/>
        </w:rPr>
        <w:t>水土保持监测方案</w:t>
      </w:r>
      <w:r>
        <w:tab/>
      </w:r>
      <w:r>
        <w:fldChar w:fldCharType="begin"/>
      </w:r>
      <w:r>
        <w:instrText xml:space="preserve"> PAGEREF _Toc1652 \h </w:instrText>
      </w:r>
      <w:r>
        <w:fldChar w:fldCharType="separate"/>
      </w:r>
      <w:r>
        <w:t>9</w:t>
      </w:r>
      <w:r>
        <w:fldChar w:fldCharType="end"/>
      </w:r>
      <w:r>
        <w:rPr>
          <w:color w:val="auto"/>
        </w:rPr>
        <w:fldChar w:fldCharType="end"/>
      </w:r>
    </w:p>
    <w:p w14:paraId="73A89EF1">
      <w:pPr>
        <w:pStyle w:val="19"/>
        <w:tabs>
          <w:tab w:val="right" w:leader="dot" w:pos="9072"/>
        </w:tabs>
      </w:pPr>
      <w:r>
        <w:rPr>
          <w:color w:val="auto"/>
        </w:rPr>
        <w:fldChar w:fldCharType="begin"/>
      </w:r>
      <w:r>
        <w:instrText xml:space="preserve"> HYPERLINK \l _Toc30343 </w:instrText>
      </w:r>
      <w:r>
        <w:fldChar w:fldCharType="separate"/>
      </w:r>
      <w:r>
        <w:rPr>
          <w:rFonts w:hint="default"/>
        </w:rPr>
        <w:t xml:space="preserve">1.10 </w:t>
      </w:r>
      <w:r>
        <w:rPr>
          <w:rFonts w:hint="eastAsia"/>
        </w:rPr>
        <w:t>水土保持投资及效益分析成果</w:t>
      </w:r>
      <w:r>
        <w:tab/>
      </w:r>
      <w:r>
        <w:fldChar w:fldCharType="begin"/>
      </w:r>
      <w:r>
        <w:instrText xml:space="preserve"> PAGEREF _Toc30343 \h </w:instrText>
      </w:r>
      <w:r>
        <w:fldChar w:fldCharType="separate"/>
      </w:r>
      <w:r>
        <w:t>9</w:t>
      </w:r>
      <w:r>
        <w:fldChar w:fldCharType="end"/>
      </w:r>
      <w:r>
        <w:rPr>
          <w:color w:val="auto"/>
        </w:rPr>
        <w:fldChar w:fldCharType="end"/>
      </w:r>
    </w:p>
    <w:p w14:paraId="6806BD5E">
      <w:pPr>
        <w:pStyle w:val="19"/>
        <w:tabs>
          <w:tab w:val="right" w:leader="dot" w:pos="9072"/>
        </w:tabs>
      </w:pPr>
      <w:r>
        <w:rPr>
          <w:color w:val="auto"/>
        </w:rPr>
        <w:fldChar w:fldCharType="begin"/>
      </w:r>
      <w:r>
        <w:instrText xml:space="preserve"> HYPERLINK \l _Toc23656 </w:instrText>
      </w:r>
      <w:r>
        <w:fldChar w:fldCharType="separate"/>
      </w:r>
      <w:r>
        <w:rPr>
          <w:rFonts w:hint="default"/>
          <w:lang w:val="en-US" w:eastAsia="zh-CN"/>
        </w:rPr>
        <w:t xml:space="preserve">1.11 </w:t>
      </w:r>
      <w:r>
        <w:rPr>
          <w:rFonts w:hint="eastAsia"/>
        </w:rPr>
        <w:t>结论</w:t>
      </w:r>
      <w:r>
        <w:tab/>
      </w:r>
      <w:r>
        <w:fldChar w:fldCharType="begin"/>
      </w:r>
      <w:r>
        <w:instrText xml:space="preserve"> PAGEREF _Toc23656 \h </w:instrText>
      </w:r>
      <w:r>
        <w:fldChar w:fldCharType="separate"/>
      </w:r>
      <w:r>
        <w:t>10</w:t>
      </w:r>
      <w:r>
        <w:fldChar w:fldCharType="end"/>
      </w:r>
      <w:r>
        <w:rPr>
          <w:color w:val="auto"/>
        </w:rPr>
        <w:fldChar w:fldCharType="end"/>
      </w:r>
    </w:p>
    <w:p w14:paraId="3A5A4F26">
      <w:pPr>
        <w:pStyle w:val="18"/>
        <w:tabs>
          <w:tab w:val="right" w:leader="dot" w:pos="9072"/>
        </w:tabs>
      </w:pPr>
      <w:r>
        <w:rPr>
          <w:color w:val="auto"/>
        </w:rPr>
        <w:fldChar w:fldCharType="begin"/>
      </w:r>
      <w:r>
        <w:instrText xml:space="preserve"> HYPERLINK \l _Toc30765 </w:instrText>
      </w:r>
      <w:r>
        <w:fldChar w:fldCharType="separate"/>
      </w:r>
      <w:r>
        <w:rPr>
          <w:rFonts w:hint="eastAsia"/>
        </w:rPr>
        <w:t>2 项目概况</w:t>
      </w:r>
      <w:r>
        <w:tab/>
      </w:r>
      <w:r>
        <w:fldChar w:fldCharType="begin"/>
      </w:r>
      <w:r>
        <w:instrText xml:space="preserve"> PAGEREF _Toc30765 \h </w:instrText>
      </w:r>
      <w:r>
        <w:fldChar w:fldCharType="separate"/>
      </w:r>
      <w:r>
        <w:t>11</w:t>
      </w:r>
      <w:r>
        <w:fldChar w:fldCharType="end"/>
      </w:r>
      <w:r>
        <w:rPr>
          <w:color w:val="auto"/>
        </w:rPr>
        <w:fldChar w:fldCharType="end"/>
      </w:r>
    </w:p>
    <w:p w14:paraId="15EAD5C7">
      <w:pPr>
        <w:pStyle w:val="19"/>
        <w:tabs>
          <w:tab w:val="right" w:leader="dot" w:pos="9072"/>
        </w:tabs>
      </w:pPr>
      <w:r>
        <w:rPr>
          <w:color w:val="auto"/>
        </w:rPr>
        <w:fldChar w:fldCharType="begin"/>
      </w:r>
      <w:r>
        <w:instrText xml:space="preserve"> HYPERLINK \l _Toc11671 </w:instrText>
      </w:r>
      <w:r>
        <w:fldChar w:fldCharType="separate"/>
      </w:r>
      <w:r>
        <w:rPr>
          <w:rFonts w:hint="eastAsia"/>
        </w:rPr>
        <w:t>2.1项目组成及工程布置</w:t>
      </w:r>
      <w:r>
        <w:tab/>
      </w:r>
      <w:r>
        <w:fldChar w:fldCharType="begin"/>
      </w:r>
      <w:r>
        <w:instrText xml:space="preserve"> PAGEREF _Toc11671 \h </w:instrText>
      </w:r>
      <w:r>
        <w:fldChar w:fldCharType="separate"/>
      </w:r>
      <w:r>
        <w:t>11</w:t>
      </w:r>
      <w:r>
        <w:fldChar w:fldCharType="end"/>
      </w:r>
      <w:r>
        <w:rPr>
          <w:color w:val="auto"/>
        </w:rPr>
        <w:fldChar w:fldCharType="end"/>
      </w:r>
    </w:p>
    <w:p w14:paraId="1EA01D2E">
      <w:pPr>
        <w:pStyle w:val="19"/>
        <w:tabs>
          <w:tab w:val="right" w:leader="dot" w:pos="9072"/>
        </w:tabs>
      </w:pPr>
      <w:r>
        <w:rPr>
          <w:color w:val="auto"/>
        </w:rPr>
        <w:fldChar w:fldCharType="begin"/>
      </w:r>
      <w:r>
        <w:instrText xml:space="preserve"> HYPERLINK \l _Toc24666 </w:instrText>
      </w:r>
      <w:r>
        <w:fldChar w:fldCharType="separate"/>
      </w:r>
      <w:r>
        <w:rPr>
          <w:rFonts w:hint="eastAsia"/>
        </w:rPr>
        <w:t>2.2 施工组织</w:t>
      </w:r>
      <w:r>
        <w:tab/>
      </w:r>
      <w:r>
        <w:fldChar w:fldCharType="begin"/>
      </w:r>
      <w:r>
        <w:instrText xml:space="preserve"> PAGEREF _Toc24666 \h </w:instrText>
      </w:r>
      <w:r>
        <w:fldChar w:fldCharType="separate"/>
      </w:r>
      <w:r>
        <w:t>14</w:t>
      </w:r>
      <w:r>
        <w:fldChar w:fldCharType="end"/>
      </w:r>
      <w:r>
        <w:rPr>
          <w:color w:val="auto"/>
        </w:rPr>
        <w:fldChar w:fldCharType="end"/>
      </w:r>
    </w:p>
    <w:p w14:paraId="52801996">
      <w:pPr>
        <w:pStyle w:val="19"/>
        <w:tabs>
          <w:tab w:val="right" w:leader="dot" w:pos="9072"/>
        </w:tabs>
      </w:pPr>
      <w:r>
        <w:rPr>
          <w:color w:val="auto"/>
        </w:rPr>
        <w:fldChar w:fldCharType="begin"/>
      </w:r>
      <w:r>
        <w:instrText xml:space="preserve"> HYPERLINK \l _Toc18295 </w:instrText>
      </w:r>
      <w:r>
        <w:fldChar w:fldCharType="separate"/>
      </w:r>
      <w:r>
        <w:rPr>
          <w:rFonts w:hint="eastAsia"/>
        </w:rPr>
        <w:t>2.3工程占地</w:t>
      </w:r>
      <w:r>
        <w:tab/>
      </w:r>
      <w:r>
        <w:fldChar w:fldCharType="begin"/>
      </w:r>
      <w:r>
        <w:instrText xml:space="preserve"> PAGEREF _Toc18295 \h </w:instrText>
      </w:r>
      <w:r>
        <w:fldChar w:fldCharType="separate"/>
      </w:r>
      <w:r>
        <w:t>17</w:t>
      </w:r>
      <w:r>
        <w:fldChar w:fldCharType="end"/>
      </w:r>
      <w:r>
        <w:rPr>
          <w:color w:val="auto"/>
        </w:rPr>
        <w:fldChar w:fldCharType="end"/>
      </w:r>
    </w:p>
    <w:p w14:paraId="2DC36557">
      <w:pPr>
        <w:pStyle w:val="19"/>
        <w:tabs>
          <w:tab w:val="right" w:leader="dot" w:pos="9072"/>
        </w:tabs>
      </w:pPr>
      <w:r>
        <w:rPr>
          <w:color w:val="auto"/>
        </w:rPr>
        <w:fldChar w:fldCharType="begin"/>
      </w:r>
      <w:r>
        <w:instrText xml:space="preserve"> HYPERLINK \l _Toc27294 </w:instrText>
      </w:r>
      <w:r>
        <w:fldChar w:fldCharType="separate"/>
      </w:r>
      <w:r>
        <w:rPr>
          <w:rFonts w:hint="eastAsia"/>
        </w:rPr>
        <w:t>2.4土石方平衡</w:t>
      </w:r>
      <w:r>
        <w:tab/>
      </w:r>
      <w:r>
        <w:fldChar w:fldCharType="begin"/>
      </w:r>
      <w:r>
        <w:instrText xml:space="preserve"> PAGEREF _Toc27294 \h </w:instrText>
      </w:r>
      <w:r>
        <w:fldChar w:fldCharType="separate"/>
      </w:r>
      <w:r>
        <w:t>17</w:t>
      </w:r>
      <w:r>
        <w:fldChar w:fldCharType="end"/>
      </w:r>
      <w:r>
        <w:rPr>
          <w:color w:val="auto"/>
        </w:rPr>
        <w:fldChar w:fldCharType="end"/>
      </w:r>
    </w:p>
    <w:p w14:paraId="2EA23824">
      <w:pPr>
        <w:pStyle w:val="19"/>
        <w:tabs>
          <w:tab w:val="right" w:leader="dot" w:pos="9072"/>
        </w:tabs>
      </w:pPr>
      <w:r>
        <w:rPr>
          <w:color w:val="auto"/>
        </w:rPr>
        <w:fldChar w:fldCharType="begin"/>
      </w:r>
      <w:r>
        <w:instrText xml:space="preserve"> HYPERLINK \l _Toc13215 </w:instrText>
      </w:r>
      <w:r>
        <w:fldChar w:fldCharType="separate"/>
      </w:r>
      <w:r>
        <w:rPr>
          <w:rFonts w:hint="eastAsia"/>
        </w:rPr>
        <w:t>2.5拆迁（移民）安置与专项设施改（迁）建</w:t>
      </w:r>
      <w:r>
        <w:tab/>
      </w:r>
      <w:r>
        <w:fldChar w:fldCharType="begin"/>
      </w:r>
      <w:r>
        <w:instrText xml:space="preserve"> PAGEREF _Toc13215 \h </w:instrText>
      </w:r>
      <w:r>
        <w:fldChar w:fldCharType="separate"/>
      </w:r>
      <w:r>
        <w:t>19</w:t>
      </w:r>
      <w:r>
        <w:fldChar w:fldCharType="end"/>
      </w:r>
      <w:r>
        <w:rPr>
          <w:color w:val="auto"/>
        </w:rPr>
        <w:fldChar w:fldCharType="end"/>
      </w:r>
    </w:p>
    <w:p w14:paraId="3D2696B9">
      <w:pPr>
        <w:pStyle w:val="19"/>
        <w:tabs>
          <w:tab w:val="right" w:leader="dot" w:pos="9072"/>
        </w:tabs>
      </w:pPr>
      <w:r>
        <w:rPr>
          <w:color w:val="auto"/>
        </w:rPr>
        <w:fldChar w:fldCharType="begin"/>
      </w:r>
      <w:r>
        <w:instrText xml:space="preserve"> HYPERLINK \l _Toc19819 </w:instrText>
      </w:r>
      <w:r>
        <w:fldChar w:fldCharType="separate"/>
      </w:r>
      <w:r>
        <w:rPr>
          <w:rFonts w:hint="eastAsia"/>
        </w:rPr>
        <w:t>2.6施工进度</w:t>
      </w:r>
      <w:r>
        <w:tab/>
      </w:r>
      <w:r>
        <w:fldChar w:fldCharType="begin"/>
      </w:r>
      <w:r>
        <w:instrText xml:space="preserve"> PAGEREF _Toc19819 \h </w:instrText>
      </w:r>
      <w:r>
        <w:fldChar w:fldCharType="separate"/>
      </w:r>
      <w:r>
        <w:t>19</w:t>
      </w:r>
      <w:r>
        <w:fldChar w:fldCharType="end"/>
      </w:r>
      <w:r>
        <w:rPr>
          <w:color w:val="auto"/>
        </w:rPr>
        <w:fldChar w:fldCharType="end"/>
      </w:r>
    </w:p>
    <w:p w14:paraId="4C88D718">
      <w:pPr>
        <w:pStyle w:val="19"/>
        <w:tabs>
          <w:tab w:val="right" w:leader="dot" w:pos="9072"/>
        </w:tabs>
      </w:pPr>
      <w:r>
        <w:rPr>
          <w:color w:val="auto"/>
        </w:rPr>
        <w:fldChar w:fldCharType="begin"/>
      </w:r>
      <w:r>
        <w:instrText xml:space="preserve"> HYPERLINK \l _Toc15623 </w:instrText>
      </w:r>
      <w:r>
        <w:fldChar w:fldCharType="separate"/>
      </w:r>
      <w:r>
        <w:rPr>
          <w:rFonts w:hint="eastAsia"/>
        </w:rPr>
        <w:t>2.7自然概况</w:t>
      </w:r>
      <w:r>
        <w:tab/>
      </w:r>
      <w:r>
        <w:fldChar w:fldCharType="begin"/>
      </w:r>
      <w:r>
        <w:instrText xml:space="preserve"> PAGEREF _Toc15623 \h </w:instrText>
      </w:r>
      <w:r>
        <w:fldChar w:fldCharType="separate"/>
      </w:r>
      <w:r>
        <w:t>19</w:t>
      </w:r>
      <w:r>
        <w:fldChar w:fldCharType="end"/>
      </w:r>
      <w:r>
        <w:rPr>
          <w:color w:val="auto"/>
        </w:rPr>
        <w:fldChar w:fldCharType="end"/>
      </w:r>
    </w:p>
    <w:p w14:paraId="56EC56FC">
      <w:pPr>
        <w:pStyle w:val="18"/>
        <w:tabs>
          <w:tab w:val="right" w:leader="dot" w:pos="9072"/>
        </w:tabs>
      </w:pPr>
      <w:r>
        <w:rPr>
          <w:color w:val="auto"/>
        </w:rPr>
        <w:fldChar w:fldCharType="begin"/>
      </w:r>
      <w:r>
        <w:instrText xml:space="preserve"> HYPERLINK \l _Toc9445 </w:instrText>
      </w:r>
      <w:r>
        <w:fldChar w:fldCharType="separate"/>
      </w:r>
      <w:r>
        <w:rPr>
          <w:rFonts w:hint="eastAsia"/>
        </w:rPr>
        <w:t>3 项目水土保持评价</w:t>
      </w:r>
      <w:r>
        <w:tab/>
      </w:r>
      <w:r>
        <w:fldChar w:fldCharType="begin"/>
      </w:r>
      <w:r>
        <w:instrText xml:space="preserve"> PAGEREF _Toc9445 \h </w:instrText>
      </w:r>
      <w:r>
        <w:fldChar w:fldCharType="separate"/>
      </w:r>
      <w:r>
        <w:t>25</w:t>
      </w:r>
      <w:r>
        <w:fldChar w:fldCharType="end"/>
      </w:r>
      <w:r>
        <w:rPr>
          <w:color w:val="auto"/>
        </w:rPr>
        <w:fldChar w:fldCharType="end"/>
      </w:r>
    </w:p>
    <w:p w14:paraId="64DC7C32">
      <w:pPr>
        <w:pStyle w:val="19"/>
        <w:tabs>
          <w:tab w:val="right" w:leader="dot" w:pos="9072"/>
        </w:tabs>
      </w:pPr>
      <w:r>
        <w:rPr>
          <w:color w:val="auto"/>
        </w:rPr>
        <w:fldChar w:fldCharType="begin"/>
      </w:r>
      <w:r>
        <w:instrText xml:space="preserve"> HYPERLINK \l _Toc16424 </w:instrText>
      </w:r>
      <w:r>
        <w:fldChar w:fldCharType="separate"/>
      </w:r>
      <w:r>
        <w:rPr>
          <w:rFonts w:hint="eastAsia"/>
        </w:rPr>
        <w:t>3.1 主体工程选址（线）水土保持评价</w:t>
      </w:r>
      <w:r>
        <w:tab/>
      </w:r>
      <w:r>
        <w:fldChar w:fldCharType="begin"/>
      </w:r>
      <w:r>
        <w:instrText xml:space="preserve"> PAGEREF _Toc16424 \h </w:instrText>
      </w:r>
      <w:r>
        <w:fldChar w:fldCharType="separate"/>
      </w:r>
      <w:r>
        <w:t>25</w:t>
      </w:r>
      <w:r>
        <w:fldChar w:fldCharType="end"/>
      </w:r>
      <w:r>
        <w:rPr>
          <w:color w:val="auto"/>
        </w:rPr>
        <w:fldChar w:fldCharType="end"/>
      </w:r>
    </w:p>
    <w:p w14:paraId="14210A73">
      <w:pPr>
        <w:pStyle w:val="19"/>
        <w:tabs>
          <w:tab w:val="right" w:leader="dot" w:pos="9072"/>
        </w:tabs>
      </w:pPr>
      <w:r>
        <w:rPr>
          <w:color w:val="auto"/>
        </w:rPr>
        <w:fldChar w:fldCharType="begin"/>
      </w:r>
      <w:r>
        <w:instrText xml:space="preserve"> HYPERLINK \l _Toc20729 </w:instrText>
      </w:r>
      <w:r>
        <w:fldChar w:fldCharType="separate"/>
      </w:r>
      <w:r>
        <w:rPr>
          <w:rFonts w:hint="eastAsia"/>
        </w:rPr>
        <w:t>3.2建设方案与布局水土保持评价</w:t>
      </w:r>
      <w:r>
        <w:tab/>
      </w:r>
      <w:r>
        <w:fldChar w:fldCharType="begin"/>
      </w:r>
      <w:r>
        <w:instrText xml:space="preserve"> PAGEREF _Toc20729 \h </w:instrText>
      </w:r>
      <w:r>
        <w:fldChar w:fldCharType="separate"/>
      </w:r>
      <w:r>
        <w:t>26</w:t>
      </w:r>
      <w:r>
        <w:fldChar w:fldCharType="end"/>
      </w:r>
      <w:r>
        <w:rPr>
          <w:color w:val="auto"/>
        </w:rPr>
        <w:fldChar w:fldCharType="end"/>
      </w:r>
    </w:p>
    <w:p w14:paraId="2E12239D">
      <w:pPr>
        <w:pStyle w:val="19"/>
        <w:tabs>
          <w:tab w:val="right" w:leader="dot" w:pos="9072"/>
        </w:tabs>
      </w:pPr>
      <w:r>
        <w:rPr>
          <w:color w:val="auto"/>
        </w:rPr>
        <w:fldChar w:fldCharType="begin"/>
      </w:r>
      <w:r>
        <w:instrText xml:space="preserve"> HYPERLINK \l _Toc9516 </w:instrText>
      </w:r>
      <w:r>
        <w:fldChar w:fldCharType="separate"/>
      </w:r>
      <w:r>
        <w:rPr>
          <w:rFonts w:hint="eastAsia"/>
        </w:rPr>
        <w:t>3.3主体工程</w:t>
      </w:r>
      <w:r>
        <w:rPr>
          <w:rFonts w:hint="eastAsia"/>
          <w:lang w:val="en-US" w:eastAsia="zh-CN"/>
        </w:rPr>
        <w:t>设计中</w:t>
      </w:r>
      <w:r>
        <w:rPr>
          <w:rFonts w:hint="eastAsia"/>
        </w:rPr>
        <w:t>水土保持措施界定</w:t>
      </w:r>
      <w:r>
        <w:tab/>
      </w:r>
      <w:r>
        <w:fldChar w:fldCharType="begin"/>
      </w:r>
      <w:r>
        <w:instrText xml:space="preserve"> PAGEREF _Toc9516 \h </w:instrText>
      </w:r>
      <w:r>
        <w:fldChar w:fldCharType="separate"/>
      </w:r>
      <w:r>
        <w:t>28</w:t>
      </w:r>
      <w:r>
        <w:fldChar w:fldCharType="end"/>
      </w:r>
      <w:r>
        <w:rPr>
          <w:color w:val="auto"/>
        </w:rPr>
        <w:fldChar w:fldCharType="end"/>
      </w:r>
    </w:p>
    <w:p w14:paraId="26AF2F9E">
      <w:pPr>
        <w:pStyle w:val="18"/>
        <w:tabs>
          <w:tab w:val="right" w:leader="dot" w:pos="9072"/>
        </w:tabs>
      </w:pPr>
      <w:r>
        <w:rPr>
          <w:color w:val="auto"/>
        </w:rPr>
        <w:fldChar w:fldCharType="begin"/>
      </w:r>
      <w:r>
        <w:instrText xml:space="preserve"> HYPERLINK \l _Toc18770 </w:instrText>
      </w:r>
      <w:r>
        <w:fldChar w:fldCharType="separate"/>
      </w:r>
      <w:r>
        <w:rPr>
          <w:rFonts w:hint="eastAsia"/>
        </w:rPr>
        <w:t>4 水土流失分析与</w:t>
      </w:r>
      <w:r>
        <w:rPr>
          <w:rFonts w:hint="eastAsia"/>
          <w:lang w:val="en-US" w:eastAsia="zh-CN"/>
        </w:rPr>
        <w:t>预测</w:t>
      </w:r>
      <w:r>
        <w:tab/>
      </w:r>
      <w:r>
        <w:fldChar w:fldCharType="begin"/>
      </w:r>
      <w:r>
        <w:instrText xml:space="preserve"> PAGEREF _Toc18770 \h </w:instrText>
      </w:r>
      <w:r>
        <w:fldChar w:fldCharType="separate"/>
      </w:r>
      <w:r>
        <w:t>30</w:t>
      </w:r>
      <w:r>
        <w:fldChar w:fldCharType="end"/>
      </w:r>
      <w:r>
        <w:rPr>
          <w:color w:val="auto"/>
        </w:rPr>
        <w:fldChar w:fldCharType="end"/>
      </w:r>
    </w:p>
    <w:p w14:paraId="7E5EC3BF">
      <w:pPr>
        <w:pStyle w:val="19"/>
        <w:tabs>
          <w:tab w:val="right" w:leader="dot" w:pos="9072"/>
        </w:tabs>
      </w:pPr>
      <w:r>
        <w:rPr>
          <w:color w:val="auto"/>
        </w:rPr>
        <w:fldChar w:fldCharType="begin"/>
      </w:r>
      <w:r>
        <w:instrText xml:space="preserve"> HYPERLINK \l _Toc7313 </w:instrText>
      </w:r>
      <w:r>
        <w:fldChar w:fldCharType="separate"/>
      </w:r>
      <w:r>
        <w:rPr>
          <w:rFonts w:hint="default"/>
        </w:rPr>
        <w:t>4.1水土流失现状</w:t>
      </w:r>
      <w:r>
        <w:tab/>
      </w:r>
      <w:r>
        <w:fldChar w:fldCharType="begin"/>
      </w:r>
      <w:r>
        <w:instrText xml:space="preserve"> PAGEREF _Toc7313 \h </w:instrText>
      </w:r>
      <w:r>
        <w:fldChar w:fldCharType="separate"/>
      </w:r>
      <w:r>
        <w:t>30</w:t>
      </w:r>
      <w:r>
        <w:fldChar w:fldCharType="end"/>
      </w:r>
      <w:r>
        <w:rPr>
          <w:color w:val="auto"/>
        </w:rPr>
        <w:fldChar w:fldCharType="end"/>
      </w:r>
    </w:p>
    <w:p w14:paraId="3B90D782">
      <w:pPr>
        <w:pStyle w:val="19"/>
        <w:tabs>
          <w:tab w:val="right" w:leader="dot" w:pos="9072"/>
        </w:tabs>
      </w:pPr>
      <w:r>
        <w:rPr>
          <w:color w:val="auto"/>
        </w:rPr>
        <w:fldChar w:fldCharType="begin"/>
      </w:r>
      <w:r>
        <w:instrText xml:space="preserve"> HYPERLINK \l _Toc15856 </w:instrText>
      </w:r>
      <w:r>
        <w:fldChar w:fldCharType="separate"/>
      </w:r>
      <w:r>
        <w:rPr>
          <w:rFonts w:hint="eastAsia"/>
        </w:rPr>
        <w:t>4.2水土流失影响因素分析</w:t>
      </w:r>
      <w:r>
        <w:tab/>
      </w:r>
      <w:r>
        <w:fldChar w:fldCharType="begin"/>
      </w:r>
      <w:r>
        <w:instrText xml:space="preserve"> PAGEREF _Toc15856 \h </w:instrText>
      </w:r>
      <w:r>
        <w:fldChar w:fldCharType="separate"/>
      </w:r>
      <w:r>
        <w:t>30</w:t>
      </w:r>
      <w:r>
        <w:fldChar w:fldCharType="end"/>
      </w:r>
      <w:r>
        <w:rPr>
          <w:color w:val="auto"/>
        </w:rPr>
        <w:fldChar w:fldCharType="end"/>
      </w:r>
    </w:p>
    <w:p w14:paraId="5E0DBC5A">
      <w:pPr>
        <w:pStyle w:val="19"/>
        <w:tabs>
          <w:tab w:val="right" w:leader="dot" w:pos="9072"/>
        </w:tabs>
      </w:pPr>
      <w:r>
        <w:rPr>
          <w:color w:val="auto"/>
        </w:rPr>
        <w:fldChar w:fldCharType="begin"/>
      </w:r>
      <w:r>
        <w:instrText xml:space="preserve"> HYPERLINK \l _Toc14827 </w:instrText>
      </w:r>
      <w:r>
        <w:fldChar w:fldCharType="separate"/>
      </w:r>
      <w:r>
        <w:rPr>
          <w:rFonts w:hint="eastAsia"/>
        </w:rPr>
        <w:t>4.3土壤流失量</w:t>
      </w:r>
      <w:r>
        <w:rPr>
          <w:rFonts w:hint="eastAsia"/>
          <w:lang w:val="en-US" w:eastAsia="zh-CN"/>
        </w:rPr>
        <w:t>预测</w:t>
      </w:r>
      <w:r>
        <w:tab/>
      </w:r>
      <w:r>
        <w:fldChar w:fldCharType="begin"/>
      </w:r>
      <w:r>
        <w:instrText xml:space="preserve"> PAGEREF _Toc14827 \h </w:instrText>
      </w:r>
      <w:r>
        <w:fldChar w:fldCharType="separate"/>
      </w:r>
      <w:r>
        <w:t>32</w:t>
      </w:r>
      <w:r>
        <w:fldChar w:fldCharType="end"/>
      </w:r>
      <w:r>
        <w:rPr>
          <w:color w:val="auto"/>
        </w:rPr>
        <w:fldChar w:fldCharType="end"/>
      </w:r>
    </w:p>
    <w:p w14:paraId="7F594443">
      <w:pPr>
        <w:pStyle w:val="19"/>
        <w:tabs>
          <w:tab w:val="right" w:leader="dot" w:pos="9072"/>
        </w:tabs>
      </w:pPr>
      <w:r>
        <w:rPr>
          <w:color w:val="auto"/>
        </w:rPr>
        <w:fldChar w:fldCharType="begin"/>
      </w:r>
      <w:r>
        <w:instrText xml:space="preserve"> HYPERLINK \l _Toc20838 </w:instrText>
      </w:r>
      <w:r>
        <w:fldChar w:fldCharType="separate"/>
      </w:r>
      <w:r>
        <w:rPr>
          <w:rFonts w:hint="eastAsia"/>
        </w:rPr>
        <w:t>4.4 水土流失危害分析</w:t>
      </w:r>
      <w:r>
        <w:tab/>
      </w:r>
      <w:r>
        <w:fldChar w:fldCharType="begin"/>
      </w:r>
      <w:r>
        <w:instrText xml:space="preserve"> PAGEREF _Toc20838 \h </w:instrText>
      </w:r>
      <w:r>
        <w:fldChar w:fldCharType="separate"/>
      </w:r>
      <w:r>
        <w:t>34</w:t>
      </w:r>
      <w:r>
        <w:fldChar w:fldCharType="end"/>
      </w:r>
      <w:r>
        <w:rPr>
          <w:color w:val="auto"/>
        </w:rPr>
        <w:fldChar w:fldCharType="end"/>
      </w:r>
    </w:p>
    <w:p w14:paraId="50F012FB">
      <w:pPr>
        <w:pStyle w:val="19"/>
        <w:tabs>
          <w:tab w:val="right" w:leader="dot" w:pos="9072"/>
        </w:tabs>
      </w:pPr>
      <w:r>
        <w:rPr>
          <w:color w:val="auto"/>
        </w:rPr>
        <w:fldChar w:fldCharType="begin"/>
      </w:r>
      <w:r>
        <w:instrText xml:space="preserve"> HYPERLINK \l _Toc9637 </w:instrText>
      </w:r>
      <w:r>
        <w:fldChar w:fldCharType="separate"/>
      </w:r>
      <w:r>
        <w:rPr>
          <w:rFonts w:hint="eastAsia"/>
        </w:rPr>
        <w:t>4.5 指导性意见</w:t>
      </w:r>
      <w:r>
        <w:tab/>
      </w:r>
      <w:r>
        <w:fldChar w:fldCharType="begin"/>
      </w:r>
      <w:r>
        <w:instrText xml:space="preserve"> PAGEREF _Toc9637 \h </w:instrText>
      </w:r>
      <w:r>
        <w:fldChar w:fldCharType="separate"/>
      </w:r>
      <w:r>
        <w:t>35</w:t>
      </w:r>
      <w:r>
        <w:fldChar w:fldCharType="end"/>
      </w:r>
      <w:r>
        <w:rPr>
          <w:color w:val="auto"/>
        </w:rPr>
        <w:fldChar w:fldCharType="end"/>
      </w:r>
    </w:p>
    <w:p w14:paraId="78441810">
      <w:pPr>
        <w:pStyle w:val="18"/>
        <w:tabs>
          <w:tab w:val="right" w:leader="dot" w:pos="9072"/>
        </w:tabs>
      </w:pPr>
      <w:r>
        <w:rPr>
          <w:color w:val="auto"/>
        </w:rPr>
        <w:fldChar w:fldCharType="begin"/>
      </w:r>
      <w:r>
        <w:instrText xml:space="preserve"> HYPERLINK \l _Toc25093 </w:instrText>
      </w:r>
      <w:r>
        <w:fldChar w:fldCharType="separate"/>
      </w:r>
      <w:r>
        <w:rPr>
          <w:rFonts w:hint="eastAsia"/>
        </w:rPr>
        <w:t>5 水土保持措施</w:t>
      </w:r>
      <w:r>
        <w:tab/>
      </w:r>
      <w:r>
        <w:fldChar w:fldCharType="begin"/>
      </w:r>
      <w:r>
        <w:instrText xml:space="preserve"> PAGEREF _Toc25093 \h </w:instrText>
      </w:r>
      <w:r>
        <w:fldChar w:fldCharType="separate"/>
      </w:r>
      <w:r>
        <w:t>36</w:t>
      </w:r>
      <w:r>
        <w:fldChar w:fldCharType="end"/>
      </w:r>
      <w:r>
        <w:rPr>
          <w:color w:val="auto"/>
        </w:rPr>
        <w:fldChar w:fldCharType="end"/>
      </w:r>
    </w:p>
    <w:p w14:paraId="1DF5559A">
      <w:pPr>
        <w:pStyle w:val="19"/>
        <w:tabs>
          <w:tab w:val="right" w:leader="dot" w:pos="9072"/>
        </w:tabs>
      </w:pPr>
      <w:r>
        <w:rPr>
          <w:color w:val="auto"/>
        </w:rPr>
        <w:fldChar w:fldCharType="begin"/>
      </w:r>
      <w:r>
        <w:instrText xml:space="preserve"> HYPERLINK \l _Toc9723 </w:instrText>
      </w:r>
      <w:r>
        <w:fldChar w:fldCharType="separate"/>
      </w:r>
      <w:r>
        <w:rPr>
          <w:rFonts w:hint="eastAsia"/>
        </w:rPr>
        <w:t>5.1防治区划分</w:t>
      </w:r>
      <w:r>
        <w:tab/>
      </w:r>
      <w:r>
        <w:fldChar w:fldCharType="begin"/>
      </w:r>
      <w:r>
        <w:instrText xml:space="preserve"> PAGEREF _Toc9723 \h </w:instrText>
      </w:r>
      <w:r>
        <w:fldChar w:fldCharType="separate"/>
      </w:r>
      <w:r>
        <w:t>36</w:t>
      </w:r>
      <w:r>
        <w:fldChar w:fldCharType="end"/>
      </w:r>
      <w:r>
        <w:rPr>
          <w:color w:val="auto"/>
        </w:rPr>
        <w:fldChar w:fldCharType="end"/>
      </w:r>
    </w:p>
    <w:p w14:paraId="30B6455A">
      <w:pPr>
        <w:pStyle w:val="19"/>
        <w:tabs>
          <w:tab w:val="right" w:leader="dot" w:pos="9072"/>
        </w:tabs>
      </w:pPr>
      <w:r>
        <w:rPr>
          <w:color w:val="auto"/>
        </w:rPr>
        <w:fldChar w:fldCharType="begin"/>
      </w:r>
      <w:r>
        <w:instrText xml:space="preserve"> HYPERLINK \l _Toc16777 </w:instrText>
      </w:r>
      <w:r>
        <w:fldChar w:fldCharType="separate"/>
      </w:r>
      <w:r>
        <w:t>5.2措施总体布局</w:t>
      </w:r>
      <w:r>
        <w:tab/>
      </w:r>
      <w:r>
        <w:fldChar w:fldCharType="begin"/>
      </w:r>
      <w:r>
        <w:instrText xml:space="preserve"> PAGEREF _Toc16777 \h </w:instrText>
      </w:r>
      <w:r>
        <w:fldChar w:fldCharType="separate"/>
      </w:r>
      <w:r>
        <w:t>36</w:t>
      </w:r>
      <w:r>
        <w:fldChar w:fldCharType="end"/>
      </w:r>
      <w:r>
        <w:rPr>
          <w:color w:val="auto"/>
        </w:rPr>
        <w:fldChar w:fldCharType="end"/>
      </w:r>
    </w:p>
    <w:p w14:paraId="2930D841">
      <w:pPr>
        <w:pStyle w:val="19"/>
        <w:tabs>
          <w:tab w:val="right" w:leader="dot" w:pos="9072"/>
        </w:tabs>
      </w:pPr>
      <w:r>
        <w:rPr>
          <w:color w:val="auto"/>
        </w:rPr>
        <w:fldChar w:fldCharType="begin"/>
      </w:r>
      <w:r>
        <w:instrText xml:space="preserve"> HYPERLINK \l _Toc123 </w:instrText>
      </w:r>
      <w:r>
        <w:fldChar w:fldCharType="separate"/>
      </w:r>
      <w:r>
        <w:rPr>
          <w:rFonts w:hint="eastAsia"/>
        </w:rPr>
        <w:t>5.3分区措施布设</w:t>
      </w:r>
      <w:r>
        <w:tab/>
      </w:r>
      <w:r>
        <w:fldChar w:fldCharType="begin"/>
      </w:r>
      <w:r>
        <w:instrText xml:space="preserve"> PAGEREF _Toc123 \h </w:instrText>
      </w:r>
      <w:r>
        <w:fldChar w:fldCharType="separate"/>
      </w:r>
      <w:r>
        <w:t>37</w:t>
      </w:r>
      <w:r>
        <w:fldChar w:fldCharType="end"/>
      </w:r>
      <w:r>
        <w:rPr>
          <w:color w:val="auto"/>
        </w:rPr>
        <w:fldChar w:fldCharType="end"/>
      </w:r>
    </w:p>
    <w:p w14:paraId="4E8DD1AE">
      <w:pPr>
        <w:pStyle w:val="19"/>
        <w:tabs>
          <w:tab w:val="right" w:leader="dot" w:pos="9072"/>
        </w:tabs>
      </w:pPr>
      <w:r>
        <w:rPr>
          <w:color w:val="auto"/>
        </w:rPr>
        <w:fldChar w:fldCharType="begin"/>
      </w:r>
      <w:r>
        <w:instrText xml:space="preserve"> HYPERLINK \l _Toc30465 </w:instrText>
      </w:r>
      <w:r>
        <w:fldChar w:fldCharType="separate"/>
      </w:r>
      <w:r>
        <w:rPr>
          <w:rFonts w:hint="eastAsia"/>
        </w:rPr>
        <w:t>5.4施工要求</w:t>
      </w:r>
      <w:r>
        <w:tab/>
      </w:r>
      <w:r>
        <w:fldChar w:fldCharType="begin"/>
      </w:r>
      <w:r>
        <w:instrText xml:space="preserve"> PAGEREF _Toc30465 \h </w:instrText>
      </w:r>
      <w:r>
        <w:fldChar w:fldCharType="separate"/>
      </w:r>
      <w:r>
        <w:t>39</w:t>
      </w:r>
      <w:r>
        <w:fldChar w:fldCharType="end"/>
      </w:r>
      <w:r>
        <w:rPr>
          <w:color w:val="auto"/>
        </w:rPr>
        <w:fldChar w:fldCharType="end"/>
      </w:r>
    </w:p>
    <w:p w14:paraId="03C278FB">
      <w:pPr>
        <w:pStyle w:val="18"/>
        <w:tabs>
          <w:tab w:val="right" w:leader="dot" w:pos="9072"/>
        </w:tabs>
      </w:pPr>
      <w:r>
        <w:rPr>
          <w:color w:val="auto"/>
        </w:rPr>
        <w:fldChar w:fldCharType="begin"/>
      </w:r>
      <w:r>
        <w:instrText xml:space="preserve"> HYPERLINK \l _Toc17663 </w:instrText>
      </w:r>
      <w:r>
        <w:fldChar w:fldCharType="separate"/>
      </w:r>
      <w:r>
        <w:rPr>
          <w:rFonts w:hint="eastAsia"/>
        </w:rPr>
        <w:t>6 水土保持监测</w:t>
      </w:r>
      <w:r>
        <w:tab/>
      </w:r>
      <w:r>
        <w:fldChar w:fldCharType="begin"/>
      </w:r>
      <w:r>
        <w:instrText xml:space="preserve"> PAGEREF _Toc17663 \h </w:instrText>
      </w:r>
      <w:r>
        <w:fldChar w:fldCharType="separate"/>
      </w:r>
      <w:r>
        <w:t>41</w:t>
      </w:r>
      <w:r>
        <w:fldChar w:fldCharType="end"/>
      </w:r>
      <w:r>
        <w:rPr>
          <w:color w:val="auto"/>
        </w:rPr>
        <w:fldChar w:fldCharType="end"/>
      </w:r>
    </w:p>
    <w:p w14:paraId="771F578C">
      <w:pPr>
        <w:pStyle w:val="18"/>
        <w:tabs>
          <w:tab w:val="right" w:leader="dot" w:pos="9072"/>
        </w:tabs>
      </w:pPr>
      <w:r>
        <w:rPr>
          <w:color w:val="auto"/>
        </w:rPr>
        <w:fldChar w:fldCharType="begin"/>
      </w:r>
      <w:r>
        <w:instrText xml:space="preserve"> HYPERLINK \l _Toc5786 </w:instrText>
      </w:r>
      <w:r>
        <w:fldChar w:fldCharType="separate"/>
      </w:r>
      <w:r>
        <w:rPr>
          <w:rFonts w:hint="eastAsia"/>
        </w:rPr>
        <w:t>7 水土保持投资</w:t>
      </w:r>
      <w:r>
        <w:rPr>
          <w:rFonts w:hint="eastAsia"/>
          <w:lang w:eastAsia="zh-CN"/>
        </w:rPr>
        <w:t>概算</w:t>
      </w:r>
      <w:r>
        <w:rPr>
          <w:rFonts w:hint="eastAsia"/>
        </w:rPr>
        <w:t>及效益分析</w:t>
      </w:r>
      <w:r>
        <w:tab/>
      </w:r>
      <w:r>
        <w:fldChar w:fldCharType="begin"/>
      </w:r>
      <w:r>
        <w:instrText xml:space="preserve"> PAGEREF _Toc5786 \h </w:instrText>
      </w:r>
      <w:r>
        <w:fldChar w:fldCharType="separate"/>
      </w:r>
      <w:r>
        <w:t>42</w:t>
      </w:r>
      <w:r>
        <w:fldChar w:fldCharType="end"/>
      </w:r>
      <w:r>
        <w:rPr>
          <w:color w:val="auto"/>
        </w:rPr>
        <w:fldChar w:fldCharType="end"/>
      </w:r>
    </w:p>
    <w:p w14:paraId="4F023943">
      <w:pPr>
        <w:pStyle w:val="19"/>
        <w:tabs>
          <w:tab w:val="right" w:leader="dot" w:pos="9072"/>
        </w:tabs>
      </w:pPr>
      <w:r>
        <w:rPr>
          <w:color w:val="auto"/>
        </w:rPr>
        <w:fldChar w:fldCharType="begin"/>
      </w:r>
      <w:r>
        <w:instrText xml:space="preserve"> HYPERLINK \l _Toc15965 </w:instrText>
      </w:r>
      <w:r>
        <w:fldChar w:fldCharType="separate"/>
      </w:r>
      <w:r>
        <w:rPr>
          <w:rFonts w:hint="eastAsia"/>
        </w:rPr>
        <w:t>7.1投资</w:t>
      </w:r>
      <w:r>
        <w:rPr>
          <w:rFonts w:hint="eastAsia"/>
          <w:lang w:eastAsia="zh-CN"/>
        </w:rPr>
        <w:t>概算</w:t>
      </w:r>
      <w:r>
        <w:tab/>
      </w:r>
      <w:r>
        <w:fldChar w:fldCharType="begin"/>
      </w:r>
      <w:r>
        <w:instrText xml:space="preserve"> PAGEREF _Toc15965 \h </w:instrText>
      </w:r>
      <w:r>
        <w:fldChar w:fldCharType="separate"/>
      </w:r>
      <w:r>
        <w:t>42</w:t>
      </w:r>
      <w:r>
        <w:fldChar w:fldCharType="end"/>
      </w:r>
      <w:r>
        <w:rPr>
          <w:color w:val="auto"/>
        </w:rPr>
        <w:fldChar w:fldCharType="end"/>
      </w:r>
    </w:p>
    <w:p w14:paraId="62F6B0F8">
      <w:pPr>
        <w:pStyle w:val="18"/>
        <w:tabs>
          <w:tab w:val="right" w:leader="dot" w:pos="9072"/>
        </w:tabs>
      </w:pPr>
      <w:r>
        <w:rPr>
          <w:color w:val="auto"/>
        </w:rPr>
        <w:fldChar w:fldCharType="begin"/>
      </w:r>
      <w:r>
        <w:instrText xml:space="preserve"> HYPERLINK \l _Toc19401 </w:instrText>
      </w:r>
      <w:r>
        <w:fldChar w:fldCharType="separate"/>
      </w:r>
      <w:r>
        <w:rPr>
          <w:rFonts w:hint="eastAsia"/>
        </w:rPr>
        <w:t>8 水土保持管理</w:t>
      </w:r>
      <w:r>
        <w:tab/>
      </w:r>
      <w:r>
        <w:fldChar w:fldCharType="begin"/>
      </w:r>
      <w:r>
        <w:instrText xml:space="preserve"> PAGEREF _Toc19401 \h </w:instrText>
      </w:r>
      <w:r>
        <w:fldChar w:fldCharType="separate"/>
      </w:r>
      <w:r>
        <w:t>50</w:t>
      </w:r>
      <w:r>
        <w:fldChar w:fldCharType="end"/>
      </w:r>
      <w:r>
        <w:rPr>
          <w:color w:val="auto"/>
        </w:rPr>
        <w:fldChar w:fldCharType="end"/>
      </w:r>
    </w:p>
    <w:p w14:paraId="21D59C55">
      <w:pPr>
        <w:pStyle w:val="19"/>
        <w:tabs>
          <w:tab w:val="right" w:leader="dot" w:pos="9072"/>
        </w:tabs>
      </w:pPr>
      <w:r>
        <w:rPr>
          <w:color w:val="auto"/>
        </w:rPr>
        <w:fldChar w:fldCharType="begin"/>
      </w:r>
      <w:r>
        <w:instrText xml:space="preserve"> HYPERLINK \l _Toc17945 </w:instrText>
      </w:r>
      <w:r>
        <w:fldChar w:fldCharType="separate"/>
      </w:r>
      <w:r>
        <w:rPr>
          <w:rFonts w:hint="eastAsia"/>
        </w:rPr>
        <w:t>8.1组织管理</w:t>
      </w:r>
      <w:r>
        <w:tab/>
      </w:r>
      <w:r>
        <w:fldChar w:fldCharType="begin"/>
      </w:r>
      <w:r>
        <w:instrText xml:space="preserve"> PAGEREF _Toc17945 \h </w:instrText>
      </w:r>
      <w:r>
        <w:fldChar w:fldCharType="separate"/>
      </w:r>
      <w:r>
        <w:t>50</w:t>
      </w:r>
      <w:r>
        <w:fldChar w:fldCharType="end"/>
      </w:r>
      <w:r>
        <w:rPr>
          <w:color w:val="auto"/>
        </w:rPr>
        <w:fldChar w:fldCharType="end"/>
      </w:r>
    </w:p>
    <w:p w14:paraId="59539236">
      <w:pPr>
        <w:pStyle w:val="19"/>
        <w:tabs>
          <w:tab w:val="right" w:leader="dot" w:pos="9072"/>
        </w:tabs>
      </w:pPr>
      <w:r>
        <w:rPr>
          <w:color w:val="auto"/>
        </w:rPr>
        <w:fldChar w:fldCharType="begin"/>
      </w:r>
      <w:r>
        <w:instrText xml:space="preserve"> HYPERLINK \l _Toc7521 </w:instrText>
      </w:r>
      <w:r>
        <w:fldChar w:fldCharType="separate"/>
      </w:r>
      <w:r>
        <w:rPr>
          <w:rFonts w:hint="eastAsia"/>
        </w:rPr>
        <w:t>8.2后续设计</w:t>
      </w:r>
      <w:r>
        <w:tab/>
      </w:r>
      <w:r>
        <w:fldChar w:fldCharType="begin"/>
      </w:r>
      <w:r>
        <w:instrText xml:space="preserve"> PAGEREF _Toc7521 \h </w:instrText>
      </w:r>
      <w:r>
        <w:fldChar w:fldCharType="separate"/>
      </w:r>
      <w:r>
        <w:t>50</w:t>
      </w:r>
      <w:r>
        <w:fldChar w:fldCharType="end"/>
      </w:r>
      <w:r>
        <w:rPr>
          <w:color w:val="auto"/>
        </w:rPr>
        <w:fldChar w:fldCharType="end"/>
      </w:r>
    </w:p>
    <w:p w14:paraId="38664D9A">
      <w:pPr>
        <w:pStyle w:val="19"/>
        <w:tabs>
          <w:tab w:val="right" w:leader="dot" w:pos="9072"/>
        </w:tabs>
      </w:pPr>
      <w:r>
        <w:rPr>
          <w:color w:val="auto"/>
        </w:rPr>
        <w:fldChar w:fldCharType="begin"/>
      </w:r>
      <w:r>
        <w:instrText xml:space="preserve"> HYPERLINK \l _Toc31504 </w:instrText>
      </w:r>
      <w:r>
        <w:fldChar w:fldCharType="separate"/>
      </w:r>
      <w:r>
        <w:rPr>
          <w:rFonts w:hint="eastAsia"/>
        </w:rPr>
        <w:t>8.3水土保持监测</w:t>
      </w:r>
      <w:r>
        <w:tab/>
      </w:r>
      <w:r>
        <w:fldChar w:fldCharType="begin"/>
      </w:r>
      <w:r>
        <w:instrText xml:space="preserve"> PAGEREF _Toc31504 \h </w:instrText>
      </w:r>
      <w:r>
        <w:fldChar w:fldCharType="separate"/>
      </w:r>
      <w:r>
        <w:t>50</w:t>
      </w:r>
      <w:r>
        <w:fldChar w:fldCharType="end"/>
      </w:r>
      <w:r>
        <w:rPr>
          <w:color w:val="auto"/>
        </w:rPr>
        <w:fldChar w:fldCharType="end"/>
      </w:r>
    </w:p>
    <w:p w14:paraId="196F915F">
      <w:pPr>
        <w:pStyle w:val="19"/>
        <w:tabs>
          <w:tab w:val="right" w:leader="dot" w:pos="9072"/>
        </w:tabs>
      </w:pPr>
      <w:r>
        <w:rPr>
          <w:color w:val="auto"/>
        </w:rPr>
        <w:fldChar w:fldCharType="begin"/>
      </w:r>
      <w:r>
        <w:instrText xml:space="preserve"> HYPERLINK \l _Toc21723 </w:instrText>
      </w:r>
      <w:r>
        <w:fldChar w:fldCharType="separate"/>
      </w:r>
      <w:r>
        <w:rPr>
          <w:rFonts w:hint="eastAsia"/>
        </w:rPr>
        <w:t>8.4水土保持监理</w:t>
      </w:r>
      <w:r>
        <w:tab/>
      </w:r>
      <w:r>
        <w:fldChar w:fldCharType="begin"/>
      </w:r>
      <w:r>
        <w:instrText xml:space="preserve"> PAGEREF _Toc21723 \h </w:instrText>
      </w:r>
      <w:r>
        <w:fldChar w:fldCharType="separate"/>
      </w:r>
      <w:r>
        <w:t>51</w:t>
      </w:r>
      <w:r>
        <w:fldChar w:fldCharType="end"/>
      </w:r>
      <w:r>
        <w:rPr>
          <w:color w:val="auto"/>
        </w:rPr>
        <w:fldChar w:fldCharType="end"/>
      </w:r>
    </w:p>
    <w:p w14:paraId="7CBDEB5F">
      <w:pPr>
        <w:pStyle w:val="19"/>
        <w:tabs>
          <w:tab w:val="right" w:leader="dot" w:pos="9072"/>
        </w:tabs>
      </w:pPr>
      <w:r>
        <w:rPr>
          <w:color w:val="auto"/>
        </w:rPr>
        <w:fldChar w:fldCharType="begin"/>
      </w:r>
      <w:r>
        <w:instrText xml:space="preserve"> HYPERLINK \l _Toc22184 </w:instrText>
      </w:r>
      <w:r>
        <w:fldChar w:fldCharType="separate"/>
      </w:r>
      <w:r>
        <w:rPr>
          <w:rFonts w:hint="eastAsia"/>
        </w:rPr>
        <w:t>8.5水土保持施工</w:t>
      </w:r>
      <w:r>
        <w:tab/>
      </w:r>
      <w:r>
        <w:fldChar w:fldCharType="begin"/>
      </w:r>
      <w:r>
        <w:instrText xml:space="preserve"> PAGEREF _Toc22184 \h </w:instrText>
      </w:r>
      <w:r>
        <w:fldChar w:fldCharType="separate"/>
      </w:r>
      <w:r>
        <w:t>51</w:t>
      </w:r>
      <w:r>
        <w:fldChar w:fldCharType="end"/>
      </w:r>
      <w:r>
        <w:rPr>
          <w:color w:val="auto"/>
        </w:rPr>
        <w:fldChar w:fldCharType="end"/>
      </w:r>
    </w:p>
    <w:p w14:paraId="303D782A">
      <w:pPr>
        <w:pStyle w:val="19"/>
        <w:tabs>
          <w:tab w:val="right" w:leader="dot" w:pos="9072"/>
        </w:tabs>
      </w:pPr>
      <w:r>
        <w:rPr>
          <w:color w:val="auto"/>
        </w:rPr>
        <w:fldChar w:fldCharType="begin"/>
      </w:r>
      <w:r>
        <w:instrText xml:space="preserve"> HYPERLINK \l _Toc11431 </w:instrText>
      </w:r>
      <w:r>
        <w:fldChar w:fldCharType="separate"/>
      </w:r>
      <w:r>
        <w:rPr>
          <w:rFonts w:hint="eastAsia"/>
        </w:rPr>
        <w:t>8.6水土保持设施验收</w:t>
      </w:r>
      <w:r>
        <w:tab/>
      </w:r>
      <w:r>
        <w:fldChar w:fldCharType="begin"/>
      </w:r>
      <w:r>
        <w:instrText xml:space="preserve"> PAGEREF _Toc11431 \h </w:instrText>
      </w:r>
      <w:r>
        <w:fldChar w:fldCharType="separate"/>
      </w:r>
      <w:r>
        <w:t>51</w:t>
      </w:r>
      <w:r>
        <w:fldChar w:fldCharType="end"/>
      </w:r>
      <w:r>
        <w:rPr>
          <w:color w:val="auto"/>
        </w:rPr>
        <w:fldChar w:fldCharType="end"/>
      </w:r>
    </w:p>
    <w:p w14:paraId="18146A82">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color w:val="0000FF"/>
        </w:rPr>
      </w:pPr>
      <w:r>
        <w:rPr>
          <w:color w:val="auto"/>
        </w:rPr>
        <w:fldChar w:fldCharType="end"/>
      </w:r>
      <w:bookmarkStart w:id="8" w:name="_Toc7080"/>
      <w:bookmarkStart w:id="9" w:name="_Toc7381"/>
      <w:bookmarkStart w:id="10" w:name="_Toc31686"/>
      <w:bookmarkStart w:id="11" w:name="_Toc19193"/>
      <w:bookmarkStart w:id="12" w:name="_Toc21000"/>
      <w:bookmarkStart w:id="13" w:name="_Toc22402"/>
      <w:bookmarkStart w:id="14" w:name="_Toc24924"/>
      <w:bookmarkStart w:id="15" w:name="_Toc4469"/>
      <w:bookmarkStart w:id="16" w:name="_Toc21684"/>
      <w:bookmarkStart w:id="17" w:name="_Toc2661"/>
      <w:bookmarkStart w:id="18" w:name="_Toc1316"/>
      <w:bookmarkStart w:id="19" w:name="_Toc20799"/>
      <w:bookmarkStart w:id="20" w:name="_Toc16871"/>
      <w:bookmarkStart w:id="21" w:name="_Toc17166"/>
      <w:bookmarkStart w:id="22" w:name="_Toc23613"/>
      <w:bookmarkStart w:id="23" w:name="_Toc1354"/>
      <w:bookmarkStart w:id="24" w:name="_Toc4801"/>
      <w:bookmarkStart w:id="25" w:name="_Toc24175"/>
    </w:p>
    <w:p w14:paraId="41F8741B">
      <w:pPr>
        <w:rPr>
          <w:rFonts w:hint="eastAsia"/>
          <w:color w:val="0000FF"/>
          <w:sz w:val="24"/>
          <w:szCs w:val="24"/>
        </w:rPr>
      </w:pPr>
      <w:r>
        <w:rPr>
          <w:color w:val="0000FF"/>
          <w:sz w:val="28"/>
          <w:szCs w:val="28"/>
        </w:rPr>
        <w:br w:type="page"/>
      </w:r>
      <w:bookmarkStart w:id="26" w:name="_Toc23466"/>
      <w:bookmarkStart w:id="27" w:name="_Toc30913"/>
    </w:p>
    <w:p w14:paraId="1E2F02F6">
      <w:pPr>
        <w:bidi w:val="0"/>
        <w:rPr>
          <w:color w:val="auto"/>
        </w:rPr>
      </w:pPr>
      <w:bookmarkStart w:id="28" w:name="_Toc24571"/>
      <w:bookmarkStart w:id="29" w:name="_Toc12997"/>
      <w:r>
        <w:rPr>
          <w:rFonts w:hint="eastAsia"/>
          <w:color w:val="auto"/>
        </w:rPr>
        <w:t>附件</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7FC62185">
      <w:pPr>
        <w:keepNext w:val="0"/>
        <w:keepLines w:val="0"/>
        <w:pageBreakBefore w:val="0"/>
        <w:widowControl w:val="0"/>
        <w:kinsoku/>
        <w:wordWrap/>
        <w:overflowPunct/>
        <w:topLinePunct w:val="0"/>
        <w:autoSpaceDE/>
        <w:autoSpaceDN/>
        <w:bidi w:val="0"/>
        <w:adjustRightInd/>
        <w:snapToGrid/>
        <w:spacing w:line="440" w:lineRule="exact"/>
        <w:ind w:firstLine="480"/>
        <w:textAlignment w:val="auto"/>
        <w:rPr>
          <w:color w:val="auto"/>
        </w:rPr>
      </w:pPr>
      <w:r>
        <w:rPr>
          <w:rFonts w:hint="eastAsia"/>
          <w:color w:val="auto"/>
        </w:rPr>
        <w:t>附件1委托书</w:t>
      </w:r>
    </w:p>
    <w:p w14:paraId="2B74CD25">
      <w:pPr>
        <w:keepNext w:val="0"/>
        <w:keepLines w:val="0"/>
        <w:pageBreakBefore w:val="0"/>
        <w:widowControl w:val="0"/>
        <w:kinsoku/>
        <w:wordWrap/>
        <w:overflowPunct/>
        <w:topLinePunct w:val="0"/>
        <w:autoSpaceDE/>
        <w:autoSpaceDN/>
        <w:bidi w:val="0"/>
        <w:adjustRightInd/>
        <w:snapToGrid/>
        <w:spacing w:line="440" w:lineRule="exact"/>
        <w:ind w:firstLine="480"/>
        <w:textAlignment w:val="auto"/>
        <w:rPr>
          <w:rFonts w:hint="eastAsia"/>
          <w:color w:val="auto"/>
          <w:lang w:val="en-US" w:eastAsia="zh-CN"/>
        </w:rPr>
      </w:pPr>
      <w:r>
        <w:rPr>
          <w:rFonts w:hint="eastAsia"/>
          <w:color w:val="auto"/>
        </w:rPr>
        <w:t>附件2</w:t>
      </w:r>
      <w:r>
        <w:rPr>
          <w:rFonts w:hint="eastAsia"/>
          <w:color w:val="auto"/>
          <w:lang w:val="en-US" w:eastAsia="zh-CN"/>
        </w:rPr>
        <w:t>备案表</w:t>
      </w:r>
    </w:p>
    <w:p w14:paraId="46F44F80">
      <w:pPr>
        <w:pStyle w:val="40"/>
        <w:rPr>
          <w:rFonts w:hint="eastAsia"/>
          <w:color w:val="auto"/>
          <w:lang w:eastAsia="zh-CN"/>
        </w:rPr>
      </w:pPr>
      <w:r>
        <w:rPr>
          <w:rFonts w:hint="eastAsia"/>
          <w:color w:val="auto"/>
          <w:lang w:eastAsia="zh-CN"/>
        </w:rPr>
        <w:t>附件3 用地文件</w:t>
      </w:r>
    </w:p>
    <w:p w14:paraId="377CB132">
      <w:pPr>
        <w:pStyle w:val="23"/>
        <w:ind w:left="0" w:leftChars="0" w:firstLine="480" w:firstLineChars="200"/>
        <w:rPr>
          <w:rFonts w:hint="default"/>
          <w:color w:val="auto"/>
          <w:lang w:val="en-US" w:eastAsia="zh-CN"/>
        </w:rPr>
      </w:pPr>
      <w:r>
        <w:rPr>
          <w:rFonts w:hint="default"/>
          <w:color w:val="auto"/>
          <w:lang w:val="en-US" w:eastAsia="zh-CN"/>
        </w:rPr>
        <w:t>附件4 工程占地用地说明</w:t>
      </w:r>
    </w:p>
    <w:p w14:paraId="6B8EBD35">
      <w:pPr>
        <w:bidi w:val="0"/>
        <w:rPr>
          <w:rFonts w:hint="eastAsia"/>
          <w:color w:val="auto"/>
        </w:rPr>
      </w:pPr>
      <w:bookmarkStart w:id="30" w:name="_Toc28923"/>
      <w:bookmarkStart w:id="31" w:name="_Toc19224"/>
      <w:bookmarkStart w:id="32" w:name="_Toc4683"/>
      <w:bookmarkStart w:id="33" w:name="_Toc27559"/>
      <w:bookmarkStart w:id="34" w:name="_Toc29732"/>
      <w:bookmarkStart w:id="35" w:name="_Toc21810"/>
      <w:bookmarkStart w:id="36" w:name="_Toc27664"/>
      <w:bookmarkStart w:id="37" w:name="_Toc8138"/>
      <w:bookmarkStart w:id="38" w:name="_Toc23141"/>
      <w:bookmarkStart w:id="39" w:name="_Toc11392"/>
      <w:bookmarkStart w:id="40" w:name="_Toc19465"/>
      <w:bookmarkStart w:id="41" w:name="_Toc5243"/>
      <w:bookmarkStart w:id="42" w:name="_Toc6659"/>
      <w:bookmarkStart w:id="43" w:name="_Toc17459"/>
      <w:bookmarkStart w:id="44" w:name="_Toc1078"/>
      <w:bookmarkStart w:id="45" w:name="_Toc10306"/>
      <w:bookmarkStart w:id="46" w:name="_Toc31075"/>
      <w:bookmarkStart w:id="47" w:name="_Toc6290"/>
      <w:bookmarkStart w:id="48" w:name="_Toc25836"/>
      <w:bookmarkStart w:id="49" w:name="_Toc12963"/>
      <w:bookmarkStart w:id="50" w:name="_Toc2049"/>
      <w:bookmarkStart w:id="51" w:name="_Toc2066"/>
    </w:p>
    <w:p w14:paraId="399801E1">
      <w:pPr>
        <w:bidi w:val="0"/>
        <w:rPr>
          <w:color w:val="auto"/>
        </w:rPr>
      </w:pPr>
      <w:r>
        <w:rPr>
          <w:rFonts w:hint="eastAsia"/>
          <w:color w:val="auto"/>
        </w:rPr>
        <w:t>附图</w: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20C82769">
      <w:pPr>
        <w:bidi w:val="0"/>
        <w:rPr>
          <w:color w:val="auto"/>
        </w:rPr>
      </w:pPr>
      <w:r>
        <w:rPr>
          <w:rFonts w:hint="eastAsia"/>
          <w:color w:val="auto"/>
        </w:rPr>
        <w:t>附图1 项目区地理位置图</w:t>
      </w:r>
    </w:p>
    <w:p w14:paraId="407B58F6">
      <w:pPr>
        <w:bidi w:val="0"/>
        <w:rPr>
          <w:rFonts w:hint="eastAsia"/>
          <w:color w:val="auto"/>
        </w:rPr>
      </w:pPr>
      <w:r>
        <w:rPr>
          <w:rFonts w:hint="eastAsia"/>
          <w:color w:val="auto"/>
        </w:rPr>
        <w:t>附图2 项目区水系图</w:t>
      </w:r>
    </w:p>
    <w:p w14:paraId="3297E625">
      <w:pPr>
        <w:bidi w:val="0"/>
        <w:rPr>
          <w:rFonts w:hint="default"/>
          <w:color w:val="auto"/>
          <w:lang w:val="en-US" w:eastAsia="zh-CN"/>
        </w:rPr>
      </w:pPr>
      <w:r>
        <w:rPr>
          <w:rFonts w:hint="eastAsia"/>
          <w:color w:val="auto"/>
          <w:lang w:eastAsia="zh-CN"/>
        </w:rPr>
        <w:t>附图</w:t>
      </w:r>
      <w:r>
        <w:rPr>
          <w:rFonts w:hint="eastAsia"/>
          <w:color w:val="auto"/>
          <w:lang w:val="en-US" w:eastAsia="zh-CN"/>
        </w:rPr>
        <w:t>3土壤侵蚀分布图</w:t>
      </w:r>
    </w:p>
    <w:p w14:paraId="1EEA0FC1">
      <w:pPr>
        <w:bidi w:val="0"/>
        <w:rPr>
          <w:rFonts w:hint="eastAsia"/>
          <w:color w:val="auto"/>
        </w:rPr>
      </w:pPr>
      <w:r>
        <w:rPr>
          <w:rFonts w:hint="eastAsia"/>
          <w:color w:val="auto"/>
        </w:rPr>
        <w:t>附图</w:t>
      </w:r>
      <w:r>
        <w:rPr>
          <w:rFonts w:hint="eastAsia"/>
          <w:color w:val="auto"/>
          <w:lang w:val="en-US" w:eastAsia="zh-CN"/>
        </w:rPr>
        <w:t>4</w:t>
      </w:r>
      <w:r>
        <w:rPr>
          <w:rFonts w:hint="eastAsia"/>
          <w:color w:val="auto"/>
        </w:rPr>
        <w:t>总平面布置图</w:t>
      </w:r>
    </w:p>
    <w:p w14:paraId="13FD1EAE">
      <w:pPr>
        <w:bidi w:val="0"/>
        <w:rPr>
          <w:rFonts w:hint="eastAsia"/>
          <w:color w:val="auto"/>
          <w:lang w:val="en-US" w:eastAsia="zh-CN"/>
        </w:rPr>
      </w:pPr>
      <w:r>
        <w:rPr>
          <w:rFonts w:hint="eastAsia"/>
          <w:color w:val="auto"/>
          <w:lang w:eastAsia="zh-CN"/>
        </w:rPr>
        <w:t>附图</w:t>
      </w:r>
      <w:r>
        <w:rPr>
          <w:rFonts w:hint="eastAsia"/>
          <w:color w:val="auto"/>
          <w:lang w:val="en-US" w:eastAsia="zh-CN"/>
        </w:rPr>
        <w:t>5防治责任范围、防治措施总体布局图</w:t>
      </w:r>
    </w:p>
    <w:p w14:paraId="3CDF844B">
      <w:pPr>
        <w:bidi w:val="0"/>
        <w:rPr>
          <w:rFonts w:hint="default"/>
          <w:color w:val="auto"/>
          <w:lang w:val="en-US" w:eastAsia="zh-CN"/>
        </w:rPr>
      </w:pPr>
      <w:r>
        <w:rPr>
          <w:rFonts w:hint="eastAsia"/>
          <w:color w:val="auto"/>
          <w:lang w:val="en-US" w:eastAsia="zh-CN"/>
        </w:rPr>
        <w:t>附图6临时排水沟、临时沉砂池措施典型设计图</w:t>
      </w:r>
    </w:p>
    <w:p w14:paraId="7CCBA928">
      <w:pPr>
        <w:bidi w:val="0"/>
        <w:rPr>
          <w:rFonts w:hint="default"/>
          <w:color w:val="auto"/>
          <w:lang w:val="en-US" w:eastAsia="zh-CN"/>
        </w:rPr>
      </w:pPr>
      <w:r>
        <w:rPr>
          <w:rFonts w:hint="eastAsia"/>
          <w:color w:val="auto"/>
          <w:lang w:val="en-US" w:eastAsia="zh-CN"/>
        </w:rPr>
        <w:t>附图7洗车系统典型设计图</w:t>
      </w:r>
    </w:p>
    <w:p w14:paraId="7748761E">
      <w:pPr>
        <w:pStyle w:val="24"/>
        <w:rPr>
          <w:rFonts w:hint="eastAsia"/>
          <w:color w:val="0000FF"/>
          <w:lang w:val="en-US" w:eastAsia="zh-CN"/>
        </w:rPr>
      </w:pPr>
    </w:p>
    <w:p w14:paraId="35CB1DDC">
      <w:pPr>
        <w:rPr>
          <w:rFonts w:hint="eastAsia"/>
          <w:color w:val="0000FF"/>
          <w:lang w:val="en-US" w:eastAsia="zh-CN"/>
        </w:rPr>
      </w:pPr>
      <w:r>
        <w:rPr>
          <w:rFonts w:hint="eastAsia"/>
          <w:color w:val="0000FF"/>
          <w:lang w:val="en-US" w:eastAsia="zh-CN"/>
        </w:rPr>
        <w:br w:type="page"/>
      </w:r>
    </w:p>
    <w:p w14:paraId="2EF96D50">
      <w:pPr>
        <w:pStyle w:val="6"/>
        <w:bidi w:val="0"/>
        <w:jc w:val="center"/>
        <w:rPr>
          <w:rFonts w:hint="eastAsia"/>
          <w:lang w:val="en-US" w:eastAsia="zh-CN"/>
        </w:rPr>
      </w:pPr>
      <w:r>
        <w:rPr>
          <w:rFonts w:hint="eastAsia"/>
          <w:lang w:val="en-US" w:eastAsia="zh-CN"/>
        </w:rPr>
        <w:t>乙炔生产工厂和充装站一期项目水土保持方案报告表</w:t>
      </w:r>
    </w:p>
    <w:tbl>
      <w:tblPr>
        <w:tblStyle w:val="25"/>
        <w:tblW w:w="9101" w:type="dxa"/>
        <w:tblInd w:w="0" w:type="dxa"/>
        <w:tblLayout w:type="fixed"/>
        <w:tblCellMar>
          <w:top w:w="0" w:type="dxa"/>
          <w:left w:w="0" w:type="dxa"/>
          <w:bottom w:w="0" w:type="dxa"/>
          <w:right w:w="0" w:type="dxa"/>
        </w:tblCellMar>
      </w:tblPr>
      <w:tblGrid>
        <w:gridCol w:w="1389"/>
        <w:gridCol w:w="1764"/>
        <w:gridCol w:w="1686"/>
        <w:gridCol w:w="590"/>
        <w:gridCol w:w="422"/>
        <w:gridCol w:w="493"/>
        <w:gridCol w:w="435"/>
        <w:gridCol w:w="109"/>
        <w:gridCol w:w="104"/>
        <w:gridCol w:w="582"/>
        <w:gridCol w:w="420"/>
        <w:gridCol w:w="1107"/>
      </w:tblGrid>
      <w:tr w14:paraId="1E6EAAC9">
        <w:tblPrEx>
          <w:tblCellMar>
            <w:top w:w="0" w:type="dxa"/>
            <w:left w:w="0" w:type="dxa"/>
            <w:bottom w:w="0" w:type="dxa"/>
            <w:right w:w="0" w:type="dxa"/>
          </w:tblCellMar>
        </w:tblPrEx>
        <w:trPr>
          <w:trHeight w:val="23" w:hRule="atLeast"/>
        </w:trPr>
        <w:tc>
          <w:tcPr>
            <w:tcW w:w="1389" w:type="dxa"/>
            <w:vMerge w:val="restart"/>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7D998E71">
            <w:pPr>
              <w:pStyle w:val="34"/>
              <w:bidi w:val="0"/>
              <w:rPr>
                <w:color w:val="auto"/>
                <w:highlight w:val="none"/>
              </w:rPr>
            </w:pPr>
            <w:r>
              <w:rPr>
                <w:color w:val="auto"/>
                <w:highlight w:val="none"/>
              </w:rPr>
              <w:t>项目概况</w:t>
            </w:r>
          </w:p>
        </w:tc>
        <w:tc>
          <w:tcPr>
            <w:tcW w:w="1764" w:type="dxa"/>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01189EA5">
            <w:pPr>
              <w:pStyle w:val="34"/>
              <w:bidi w:val="0"/>
              <w:rPr>
                <w:color w:val="auto"/>
                <w:highlight w:val="none"/>
              </w:rPr>
            </w:pPr>
            <w:r>
              <w:rPr>
                <w:color w:val="auto"/>
                <w:highlight w:val="none"/>
              </w:rPr>
              <w:t>位置</w:t>
            </w:r>
          </w:p>
        </w:tc>
        <w:tc>
          <w:tcPr>
            <w:tcW w:w="5948" w:type="dxa"/>
            <w:gridSpan w:val="10"/>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5385D1F5">
            <w:pPr>
              <w:pStyle w:val="34"/>
              <w:bidi w:val="0"/>
              <w:rPr>
                <w:color w:val="auto"/>
                <w:highlight w:val="none"/>
              </w:rPr>
            </w:pPr>
            <w:r>
              <w:rPr>
                <w:rFonts w:hint="eastAsia"/>
                <w:color w:val="auto"/>
                <w:highlight w:val="none"/>
                <w:lang w:eastAsia="zh-CN"/>
              </w:rPr>
              <w:t>雅安市，</w:t>
            </w:r>
            <w:r>
              <w:rPr>
                <w:rFonts w:hint="eastAsia"/>
                <w:color w:val="auto"/>
                <w:highlight w:val="none"/>
              </w:rPr>
              <w:t>项目中心坐标为经度103°8′25.85″,纬度30°0′10.85″</w:t>
            </w:r>
          </w:p>
        </w:tc>
      </w:tr>
      <w:tr w14:paraId="6F360C86">
        <w:tblPrEx>
          <w:tblCellMar>
            <w:top w:w="0" w:type="dxa"/>
            <w:left w:w="0" w:type="dxa"/>
            <w:bottom w:w="0" w:type="dxa"/>
            <w:right w:w="0" w:type="dxa"/>
          </w:tblCellMar>
        </w:tblPrEx>
        <w:trPr>
          <w:trHeight w:val="91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46C18D3D">
            <w:pPr>
              <w:pStyle w:val="34"/>
              <w:bidi w:val="0"/>
              <w:rPr>
                <w:color w:val="auto"/>
                <w:highlight w:val="none"/>
              </w:rPr>
            </w:pP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4099DA3C">
            <w:pPr>
              <w:pStyle w:val="34"/>
              <w:bidi w:val="0"/>
              <w:rPr>
                <w:color w:val="auto"/>
                <w:highlight w:val="none"/>
              </w:rPr>
            </w:pPr>
            <w:r>
              <w:rPr>
                <w:color w:val="auto"/>
                <w:highlight w:val="none"/>
              </w:rPr>
              <w:t>建设内容</w:t>
            </w:r>
          </w:p>
        </w:tc>
        <w:tc>
          <w:tcPr>
            <w:tcW w:w="5948" w:type="dxa"/>
            <w:gridSpan w:val="10"/>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2109803C">
            <w:pPr>
              <w:pStyle w:val="34"/>
              <w:bidi w:val="0"/>
              <w:rPr>
                <w:color w:val="auto"/>
                <w:highlight w:val="none"/>
              </w:rPr>
            </w:pPr>
            <w:r>
              <w:rPr>
                <w:rFonts w:hint="eastAsia"/>
                <w:color w:val="auto"/>
                <w:highlight w:val="none"/>
              </w:rPr>
              <w:t>本期建设内容为新建一座乙炔生产工厂和乙炔充装站项目。 产能：1.一套产能为14000 吨/年的乙炔生产装置。2.一座产能为 1500 瓶/天的瓶装乙炔充装站。 3.工业丙烷、液化石油气、二甲醚、丙烯充装站、储存。主要设备：乙炔发生器、乙炔充装系统、环保设施设备、2 台丙烷储罐、2 台液化石油气储罐、2 台二甲醚储罐、2 台丙烯储罐。</w:t>
            </w:r>
          </w:p>
        </w:tc>
      </w:tr>
      <w:tr w14:paraId="0B3E82FD">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11945CB4">
            <w:pPr>
              <w:pStyle w:val="34"/>
              <w:bidi w:val="0"/>
              <w:rPr>
                <w:color w:val="auto"/>
                <w:highlight w:val="none"/>
              </w:rPr>
            </w:pP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31F2E12">
            <w:pPr>
              <w:pStyle w:val="34"/>
              <w:bidi w:val="0"/>
              <w:rPr>
                <w:color w:val="auto"/>
                <w:highlight w:val="none"/>
              </w:rPr>
            </w:pPr>
            <w:r>
              <w:rPr>
                <w:color w:val="auto"/>
                <w:highlight w:val="none"/>
              </w:rPr>
              <w:t>建设性质</w:t>
            </w:r>
          </w:p>
        </w:tc>
        <w:tc>
          <w:tcPr>
            <w:tcW w:w="2276" w:type="dxa"/>
            <w:gridSpan w:val="2"/>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37AAF603">
            <w:pPr>
              <w:pStyle w:val="34"/>
              <w:bidi w:val="0"/>
              <w:rPr>
                <w:rFonts w:hint="default" w:eastAsia="仿宋_GB2312"/>
                <w:color w:val="auto"/>
                <w:highlight w:val="none"/>
                <w:lang w:val="en-US" w:eastAsia="zh-CN"/>
              </w:rPr>
            </w:pPr>
            <w:r>
              <w:rPr>
                <w:rFonts w:hint="eastAsia"/>
                <w:color w:val="auto"/>
                <w:highlight w:val="none"/>
                <w:lang w:val="en-US" w:eastAsia="zh-CN"/>
              </w:rPr>
              <w:t>新建</w:t>
            </w:r>
          </w:p>
        </w:tc>
        <w:tc>
          <w:tcPr>
            <w:tcW w:w="1459" w:type="dxa"/>
            <w:gridSpan w:val="4"/>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731B6735">
            <w:pPr>
              <w:pStyle w:val="34"/>
              <w:bidi w:val="0"/>
              <w:rPr>
                <w:color w:val="auto"/>
                <w:highlight w:val="none"/>
              </w:rPr>
            </w:pPr>
            <w:r>
              <w:rPr>
                <w:color w:val="auto"/>
                <w:highlight w:val="none"/>
              </w:rPr>
              <w:t>总投资（万元）</w:t>
            </w:r>
          </w:p>
        </w:tc>
        <w:tc>
          <w:tcPr>
            <w:tcW w:w="2213" w:type="dxa"/>
            <w:gridSpan w:val="4"/>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23A8A87E">
            <w:pPr>
              <w:pStyle w:val="34"/>
              <w:bidi w:val="0"/>
              <w:rPr>
                <w:rFonts w:hint="default"/>
                <w:color w:val="auto"/>
                <w:highlight w:val="none"/>
                <w:lang w:val="en-US" w:eastAsia="zh-CN"/>
              </w:rPr>
            </w:pPr>
            <w:r>
              <w:rPr>
                <w:rFonts w:hint="eastAsia"/>
                <w:color w:val="auto"/>
                <w:highlight w:val="none"/>
                <w:lang w:val="en-US" w:eastAsia="zh-CN"/>
              </w:rPr>
              <w:t>10200万元</w:t>
            </w:r>
          </w:p>
        </w:tc>
      </w:tr>
      <w:tr w14:paraId="2FDDA462">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7899ABCA">
            <w:pPr>
              <w:pStyle w:val="34"/>
              <w:bidi w:val="0"/>
              <w:rPr>
                <w:color w:val="auto"/>
                <w:highlight w:val="none"/>
              </w:rPr>
            </w:pPr>
          </w:p>
        </w:tc>
        <w:tc>
          <w:tcPr>
            <w:tcW w:w="1764" w:type="dxa"/>
            <w:vMerge w:val="restart"/>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70611D6D">
            <w:pPr>
              <w:pStyle w:val="34"/>
              <w:bidi w:val="0"/>
              <w:rPr>
                <w:color w:val="auto"/>
                <w:highlight w:val="none"/>
              </w:rPr>
            </w:pPr>
            <w:r>
              <w:rPr>
                <w:color w:val="auto"/>
                <w:highlight w:val="none"/>
              </w:rPr>
              <w:t>土建投资（万元）</w:t>
            </w:r>
          </w:p>
        </w:tc>
        <w:tc>
          <w:tcPr>
            <w:tcW w:w="2276" w:type="dxa"/>
            <w:gridSpan w:val="2"/>
            <w:vMerge w:val="restart"/>
            <w:tcBorders>
              <w:top w:val="single" w:color="auto"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7EDE8749">
            <w:pPr>
              <w:pStyle w:val="34"/>
              <w:bidi w:val="0"/>
              <w:rPr>
                <w:rFonts w:hint="default"/>
                <w:color w:val="auto"/>
                <w:highlight w:val="none"/>
                <w:lang w:val="en-US" w:eastAsia="zh-CN"/>
              </w:rPr>
            </w:pPr>
            <w:r>
              <w:rPr>
                <w:rFonts w:hint="eastAsia"/>
                <w:color w:val="auto"/>
                <w:highlight w:val="none"/>
                <w:lang w:val="en-US" w:eastAsia="zh-CN"/>
              </w:rPr>
              <w:t>3000</w:t>
            </w:r>
          </w:p>
        </w:tc>
        <w:tc>
          <w:tcPr>
            <w:tcW w:w="1459" w:type="dxa"/>
            <w:gridSpan w:val="4"/>
            <w:vMerge w:val="restart"/>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6B3DE1D">
            <w:pPr>
              <w:pStyle w:val="34"/>
              <w:bidi w:val="0"/>
              <w:rPr>
                <w:color w:val="auto"/>
                <w:highlight w:val="none"/>
              </w:rPr>
            </w:pPr>
            <w:r>
              <w:rPr>
                <w:color w:val="auto"/>
                <w:highlight w:val="none"/>
              </w:rPr>
              <w:t>占地面积(hm</w:t>
            </w:r>
            <w:r>
              <w:rPr>
                <w:color w:val="auto"/>
                <w:highlight w:val="none"/>
                <w:vertAlign w:val="superscript"/>
              </w:rPr>
              <w:t>2</w:t>
            </w:r>
            <w:r>
              <w:rPr>
                <w:color w:val="auto"/>
                <w:highlight w:val="none"/>
              </w:rPr>
              <w:t>)</w:t>
            </w:r>
          </w:p>
        </w:tc>
        <w:tc>
          <w:tcPr>
            <w:tcW w:w="2213" w:type="dxa"/>
            <w:gridSpan w:val="4"/>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2FCB0712">
            <w:pPr>
              <w:pStyle w:val="34"/>
              <w:bidi w:val="0"/>
              <w:rPr>
                <w:rFonts w:hint="default"/>
                <w:color w:val="auto"/>
                <w:highlight w:val="none"/>
                <w:lang w:val="en-US" w:eastAsia="zh-CN"/>
              </w:rPr>
            </w:pPr>
            <w:r>
              <w:rPr>
                <w:color w:val="auto"/>
                <w:highlight w:val="none"/>
              </w:rPr>
              <w:t>永久</w:t>
            </w:r>
            <w:r>
              <w:rPr>
                <w:rFonts w:hint="eastAsia"/>
                <w:color w:val="auto"/>
                <w:highlight w:val="none"/>
              </w:rPr>
              <w:t>：</w:t>
            </w:r>
            <w:r>
              <w:rPr>
                <w:rFonts w:hint="eastAsia"/>
                <w:color w:val="auto"/>
                <w:highlight w:val="none"/>
                <w:lang w:val="en-US" w:eastAsia="zh-CN"/>
              </w:rPr>
              <w:t>3.66</w:t>
            </w:r>
          </w:p>
        </w:tc>
      </w:tr>
      <w:tr w14:paraId="18F90755">
        <w:tblPrEx>
          <w:tblCellMar>
            <w:top w:w="0" w:type="dxa"/>
            <w:left w:w="0" w:type="dxa"/>
            <w:bottom w:w="0" w:type="dxa"/>
            <w:right w:w="0" w:type="dxa"/>
          </w:tblCellMar>
        </w:tblPrEx>
        <w:trPr>
          <w:trHeight w:val="252"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1AFFB2E7">
            <w:pPr>
              <w:pStyle w:val="34"/>
              <w:bidi w:val="0"/>
              <w:rPr>
                <w:color w:val="auto"/>
                <w:highlight w:val="none"/>
              </w:rPr>
            </w:pPr>
          </w:p>
        </w:tc>
        <w:tc>
          <w:tcPr>
            <w:tcW w:w="1764" w:type="dxa"/>
            <w:vMerge w:val="continue"/>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FA1EB3E">
            <w:pPr>
              <w:pStyle w:val="34"/>
              <w:bidi w:val="0"/>
              <w:rPr>
                <w:color w:val="auto"/>
                <w:highlight w:val="none"/>
              </w:rPr>
            </w:pPr>
          </w:p>
        </w:tc>
        <w:tc>
          <w:tcPr>
            <w:tcW w:w="2276" w:type="dxa"/>
            <w:gridSpan w:val="2"/>
            <w:vMerge w:val="continue"/>
            <w:tcBorders>
              <w:top w:val="single" w:color="auto"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6CCE2FD0">
            <w:pPr>
              <w:pStyle w:val="34"/>
              <w:bidi w:val="0"/>
              <w:rPr>
                <w:color w:val="auto"/>
                <w:highlight w:val="none"/>
              </w:rPr>
            </w:pPr>
          </w:p>
        </w:tc>
        <w:tc>
          <w:tcPr>
            <w:tcW w:w="1459" w:type="dxa"/>
            <w:gridSpan w:val="4"/>
            <w:vMerge w:val="continue"/>
            <w:tcBorders>
              <w:top w:val="nil"/>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2753AA0">
            <w:pPr>
              <w:pStyle w:val="34"/>
              <w:bidi w:val="0"/>
              <w:rPr>
                <w:color w:val="auto"/>
                <w:highlight w:val="none"/>
              </w:rPr>
            </w:pPr>
          </w:p>
        </w:tc>
        <w:tc>
          <w:tcPr>
            <w:tcW w:w="2213" w:type="dxa"/>
            <w:gridSpan w:val="4"/>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656E2421">
            <w:pPr>
              <w:pStyle w:val="34"/>
              <w:bidi w:val="0"/>
              <w:rPr>
                <w:rFonts w:hint="eastAsia" w:eastAsia="仿宋_GB2312"/>
                <w:color w:val="auto"/>
                <w:highlight w:val="none"/>
                <w:lang w:val="en-US" w:eastAsia="zh-CN"/>
              </w:rPr>
            </w:pPr>
            <w:r>
              <w:rPr>
                <w:color w:val="auto"/>
                <w:highlight w:val="none"/>
              </w:rPr>
              <w:t>临时</w:t>
            </w:r>
            <w:r>
              <w:rPr>
                <w:rFonts w:hint="eastAsia"/>
                <w:color w:val="auto"/>
                <w:highlight w:val="none"/>
              </w:rPr>
              <w:t>：</w:t>
            </w:r>
            <w:r>
              <w:rPr>
                <w:rFonts w:hint="eastAsia"/>
                <w:color w:val="auto"/>
                <w:highlight w:val="none"/>
                <w:lang w:val="en-US" w:eastAsia="zh-CN"/>
              </w:rPr>
              <w:t>0</w:t>
            </w:r>
          </w:p>
        </w:tc>
      </w:tr>
      <w:tr w14:paraId="57406399">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181DCCF0">
            <w:pPr>
              <w:pStyle w:val="34"/>
              <w:bidi w:val="0"/>
              <w:rPr>
                <w:color w:val="auto"/>
                <w:highlight w:val="none"/>
              </w:rPr>
            </w:pP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18BCD363">
            <w:pPr>
              <w:pStyle w:val="34"/>
              <w:bidi w:val="0"/>
              <w:rPr>
                <w:color w:val="auto"/>
                <w:highlight w:val="none"/>
              </w:rPr>
            </w:pPr>
            <w:r>
              <w:rPr>
                <w:color w:val="auto"/>
                <w:highlight w:val="none"/>
              </w:rPr>
              <w:t>动工时间</w:t>
            </w:r>
          </w:p>
        </w:tc>
        <w:tc>
          <w:tcPr>
            <w:tcW w:w="2698" w:type="dxa"/>
            <w:gridSpan w:val="3"/>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5A196FFB">
            <w:pPr>
              <w:pStyle w:val="34"/>
              <w:bidi w:val="0"/>
              <w:rPr>
                <w:rFonts w:hint="default" w:eastAsia="仿宋_GB2312"/>
                <w:color w:val="auto"/>
                <w:highlight w:val="none"/>
                <w:lang w:val="en-US" w:eastAsia="zh-CN"/>
              </w:rPr>
            </w:pPr>
            <w:r>
              <w:rPr>
                <w:rFonts w:hint="eastAsia"/>
                <w:color w:val="auto"/>
                <w:highlight w:val="none"/>
                <w:lang w:val="en-US" w:eastAsia="zh-CN"/>
              </w:rPr>
              <w:t>2025.1</w:t>
            </w:r>
          </w:p>
        </w:tc>
        <w:tc>
          <w:tcPr>
            <w:tcW w:w="1037"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48F928E">
            <w:pPr>
              <w:pStyle w:val="34"/>
              <w:bidi w:val="0"/>
              <w:rPr>
                <w:color w:val="auto"/>
                <w:highlight w:val="none"/>
              </w:rPr>
            </w:pPr>
            <w:r>
              <w:rPr>
                <w:color w:val="auto"/>
                <w:highlight w:val="none"/>
              </w:rPr>
              <w:t>完工时间</w:t>
            </w:r>
          </w:p>
        </w:tc>
        <w:tc>
          <w:tcPr>
            <w:tcW w:w="2213" w:type="dxa"/>
            <w:gridSpan w:val="4"/>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50C5D655">
            <w:pPr>
              <w:pStyle w:val="34"/>
              <w:bidi w:val="0"/>
              <w:rPr>
                <w:rFonts w:hint="default" w:eastAsia="仿宋_GB2312"/>
                <w:color w:val="auto"/>
                <w:highlight w:val="none"/>
                <w:lang w:val="en-US" w:eastAsia="zh-CN"/>
              </w:rPr>
            </w:pPr>
            <w:r>
              <w:rPr>
                <w:rFonts w:hint="eastAsia"/>
                <w:color w:val="auto"/>
                <w:highlight w:val="none"/>
                <w:lang w:val="en-US" w:eastAsia="zh-CN"/>
              </w:rPr>
              <w:t>2025.6</w:t>
            </w:r>
          </w:p>
        </w:tc>
      </w:tr>
      <w:tr w14:paraId="2E2F8A75">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10C29FE">
            <w:pPr>
              <w:pStyle w:val="34"/>
              <w:bidi w:val="0"/>
              <w:rPr>
                <w:color w:val="auto"/>
                <w:highlight w:val="none"/>
              </w:rPr>
            </w:pPr>
          </w:p>
        </w:tc>
        <w:tc>
          <w:tcPr>
            <w:tcW w:w="1764" w:type="dxa"/>
            <w:vMerge w:val="restart"/>
            <w:tcBorders>
              <w:top w:val="single" w:color="auto" w:sz="4" w:space="0"/>
              <w:left w:val="single" w:color="auto" w:sz="4" w:space="0"/>
              <w:right w:val="single" w:color="auto" w:sz="4" w:space="0"/>
            </w:tcBorders>
            <w:shd w:val="clear" w:color="auto" w:fill="auto"/>
            <w:noWrap/>
            <w:tcMar>
              <w:top w:w="15" w:type="dxa"/>
              <w:left w:w="15" w:type="dxa"/>
              <w:right w:w="15" w:type="dxa"/>
            </w:tcMar>
            <w:vAlign w:val="center"/>
          </w:tcPr>
          <w:p w14:paraId="13C14914">
            <w:pPr>
              <w:pStyle w:val="34"/>
              <w:bidi w:val="0"/>
              <w:rPr>
                <w:color w:val="auto"/>
                <w:highlight w:val="none"/>
              </w:rPr>
            </w:pPr>
            <w:r>
              <w:rPr>
                <w:color w:val="auto"/>
                <w:highlight w:val="none"/>
              </w:rPr>
              <w:t>土石方（</w:t>
            </w:r>
            <w:r>
              <w:rPr>
                <w:rFonts w:hint="eastAsia"/>
                <w:color w:val="auto"/>
                <w:highlight w:val="none"/>
                <w:lang w:val="en-US" w:eastAsia="zh-CN"/>
              </w:rPr>
              <w:t>万</w:t>
            </w:r>
            <w:r>
              <w:rPr>
                <w:color w:val="auto"/>
                <w:highlight w:val="none"/>
              </w:rPr>
              <w:t>m</w:t>
            </w:r>
            <w:r>
              <w:rPr>
                <w:color w:val="auto"/>
                <w:highlight w:val="none"/>
                <w:vertAlign w:val="superscript"/>
              </w:rPr>
              <w:t>3</w:t>
            </w:r>
            <w:r>
              <w:rPr>
                <w:color w:val="auto"/>
                <w:highlight w:val="none"/>
              </w:rPr>
              <w:t>）</w:t>
            </w:r>
          </w:p>
        </w:tc>
        <w:tc>
          <w:tcPr>
            <w:tcW w:w="1686"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7064608">
            <w:pPr>
              <w:pStyle w:val="34"/>
              <w:bidi w:val="0"/>
              <w:rPr>
                <w:rFonts w:hint="eastAsia"/>
                <w:color w:val="auto"/>
                <w:highlight w:val="none"/>
                <w:lang w:val="en-US" w:eastAsia="zh-CN"/>
              </w:rPr>
            </w:pPr>
            <w:r>
              <w:rPr>
                <w:rFonts w:hint="eastAsia"/>
                <w:color w:val="auto"/>
                <w:highlight w:val="none"/>
                <w:lang w:val="en-US" w:eastAsia="zh-CN"/>
              </w:rPr>
              <w:t>时段</w:t>
            </w:r>
          </w:p>
        </w:tc>
        <w:tc>
          <w:tcPr>
            <w:tcW w:w="1012"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2A8C2854">
            <w:pPr>
              <w:pStyle w:val="34"/>
              <w:bidi w:val="0"/>
              <w:rPr>
                <w:color w:val="auto"/>
                <w:highlight w:val="none"/>
                <w:lang w:val="en-US" w:eastAsia="zh-CN"/>
              </w:rPr>
            </w:pPr>
            <w:r>
              <w:rPr>
                <w:color w:val="auto"/>
                <w:highlight w:val="none"/>
              </w:rPr>
              <w:t>挖方</w:t>
            </w:r>
          </w:p>
        </w:tc>
        <w:tc>
          <w:tcPr>
            <w:tcW w:w="1037"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245BD8AA">
            <w:pPr>
              <w:pStyle w:val="34"/>
              <w:bidi w:val="0"/>
              <w:rPr>
                <w:color w:val="auto"/>
                <w:highlight w:val="none"/>
                <w:lang w:val="en-US" w:eastAsia="zh-CN"/>
              </w:rPr>
            </w:pPr>
            <w:r>
              <w:rPr>
                <w:color w:val="auto"/>
                <w:highlight w:val="none"/>
              </w:rPr>
              <w:t>填方</w:t>
            </w:r>
          </w:p>
        </w:tc>
        <w:tc>
          <w:tcPr>
            <w:tcW w:w="1106"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E7447D1">
            <w:pPr>
              <w:pStyle w:val="34"/>
              <w:bidi w:val="0"/>
              <w:rPr>
                <w:color w:val="auto"/>
                <w:highlight w:val="none"/>
                <w:lang w:val="en-US" w:eastAsia="zh-CN"/>
              </w:rPr>
            </w:pPr>
            <w:r>
              <w:rPr>
                <w:color w:val="auto"/>
                <w:highlight w:val="none"/>
              </w:rPr>
              <w:t>借方</w:t>
            </w:r>
          </w:p>
        </w:tc>
        <w:tc>
          <w:tcPr>
            <w:tcW w:w="1107"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552C2716">
            <w:pPr>
              <w:pStyle w:val="34"/>
              <w:bidi w:val="0"/>
              <w:rPr>
                <w:color w:val="auto"/>
                <w:highlight w:val="none"/>
                <w:lang w:val="en-US" w:eastAsia="zh-CN"/>
              </w:rPr>
            </w:pPr>
            <w:r>
              <w:rPr>
                <w:color w:val="auto"/>
                <w:highlight w:val="none"/>
              </w:rPr>
              <w:t>余方</w:t>
            </w:r>
          </w:p>
        </w:tc>
      </w:tr>
      <w:tr w14:paraId="7C501A06">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7B34F3D">
            <w:pPr>
              <w:pStyle w:val="34"/>
              <w:bidi w:val="0"/>
              <w:rPr>
                <w:color w:val="auto"/>
                <w:highlight w:val="none"/>
              </w:rPr>
            </w:pPr>
          </w:p>
        </w:tc>
        <w:tc>
          <w:tcPr>
            <w:tcW w:w="1764" w:type="dxa"/>
            <w:vMerge w:val="continue"/>
            <w:tcBorders>
              <w:left w:val="single" w:color="auto" w:sz="4" w:space="0"/>
              <w:right w:val="single" w:color="auto" w:sz="4" w:space="0"/>
            </w:tcBorders>
            <w:shd w:val="clear" w:color="auto" w:fill="auto"/>
            <w:noWrap/>
            <w:tcMar>
              <w:top w:w="15" w:type="dxa"/>
              <w:left w:w="15" w:type="dxa"/>
              <w:right w:w="15" w:type="dxa"/>
            </w:tcMar>
            <w:vAlign w:val="center"/>
          </w:tcPr>
          <w:p w14:paraId="50380F5C">
            <w:pPr>
              <w:pStyle w:val="34"/>
              <w:bidi w:val="0"/>
              <w:rPr>
                <w:color w:val="auto"/>
                <w:highlight w:val="none"/>
              </w:rPr>
            </w:pPr>
          </w:p>
        </w:tc>
        <w:tc>
          <w:tcPr>
            <w:tcW w:w="1686"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18C09F44">
            <w:pPr>
              <w:pStyle w:val="34"/>
              <w:bidi w:val="0"/>
              <w:rPr>
                <w:rFonts w:hint="default"/>
                <w:color w:val="auto"/>
                <w:highlight w:val="none"/>
                <w:lang w:val="en-US" w:eastAsia="zh-CN"/>
              </w:rPr>
            </w:pPr>
            <w:r>
              <w:rPr>
                <w:rFonts w:hint="eastAsia"/>
                <w:color w:val="auto"/>
                <w:highlight w:val="none"/>
                <w:lang w:val="en-US" w:eastAsia="zh-CN"/>
              </w:rPr>
              <w:t>建设期</w:t>
            </w:r>
          </w:p>
        </w:tc>
        <w:tc>
          <w:tcPr>
            <w:tcW w:w="1012"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E3335A8">
            <w:pPr>
              <w:pStyle w:val="34"/>
              <w:bidi w:val="0"/>
              <w:rPr>
                <w:rFonts w:hint="default"/>
                <w:color w:val="auto"/>
                <w:highlight w:val="none"/>
                <w:lang w:val="en-US" w:eastAsia="zh-CN"/>
              </w:rPr>
            </w:pPr>
            <w:r>
              <w:rPr>
                <w:rFonts w:hint="eastAsia"/>
                <w:color w:val="auto"/>
                <w:highlight w:val="none"/>
                <w:lang w:val="en-US" w:eastAsia="zh-CN"/>
              </w:rPr>
              <w:t>1.32</w:t>
            </w:r>
          </w:p>
        </w:tc>
        <w:tc>
          <w:tcPr>
            <w:tcW w:w="1037"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7190B527">
            <w:pPr>
              <w:pStyle w:val="34"/>
              <w:bidi w:val="0"/>
              <w:rPr>
                <w:rFonts w:hint="default"/>
                <w:color w:val="auto"/>
                <w:highlight w:val="none"/>
                <w:lang w:val="en-US" w:eastAsia="zh-CN"/>
              </w:rPr>
            </w:pPr>
            <w:r>
              <w:rPr>
                <w:rFonts w:hint="eastAsia"/>
                <w:color w:val="auto"/>
                <w:highlight w:val="none"/>
                <w:lang w:val="en-US" w:eastAsia="zh-CN"/>
              </w:rPr>
              <w:t>1.32</w:t>
            </w:r>
          </w:p>
        </w:tc>
        <w:tc>
          <w:tcPr>
            <w:tcW w:w="1106"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26A94DB5">
            <w:pPr>
              <w:pStyle w:val="34"/>
              <w:bidi w:val="0"/>
              <w:rPr>
                <w:rFonts w:hint="default" w:eastAsia="仿宋_GB2312"/>
                <w:color w:val="auto"/>
                <w:highlight w:val="none"/>
                <w:lang w:val="en-US" w:eastAsia="zh-CN"/>
              </w:rPr>
            </w:pPr>
            <w:r>
              <w:rPr>
                <w:rFonts w:hint="eastAsia"/>
                <w:color w:val="auto"/>
                <w:highlight w:val="none"/>
                <w:lang w:val="en-US" w:eastAsia="zh-CN"/>
              </w:rPr>
              <w:t>/</w:t>
            </w:r>
          </w:p>
        </w:tc>
        <w:tc>
          <w:tcPr>
            <w:tcW w:w="1107"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478BF94B">
            <w:pPr>
              <w:pStyle w:val="34"/>
              <w:bidi w:val="0"/>
              <w:rPr>
                <w:rFonts w:hint="default" w:eastAsia="仿宋_GB2312"/>
                <w:color w:val="auto"/>
                <w:highlight w:val="none"/>
                <w:lang w:val="en-US" w:eastAsia="zh-CN"/>
              </w:rPr>
            </w:pPr>
            <w:r>
              <w:rPr>
                <w:rFonts w:hint="eastAsia"/>
                <w:color w:val="auto"/>
                <w:highlight w:val="none"/>
                <w:lang w:val="en-US" w:eastAsia="zh-CN"/>
              </w:rPr>
              <w:t>0</w:t>
            </w:r>
          </w:p>
        </w:tc>
      </w:tr>
      <w:tr w14:paraId="1EED6C48">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E588ED7">
            <w:pPr>
              <w:pStyle w:val="34"/>
              <w:bidi w:val="0"/>
              <w:rPr>
                <w:color w:val="auto"/>
                <w:highlight w:val="none"/>
              </w:rPr>
            </w:pPr>
          </w:p>
        </w:tc>
        <w:tc>
          <w:tcPr>
            <w:tcW w:w="1764"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4EF8B801">
            <w:pPr>
              <w:pStyle w:val="34"/>
              <w:bidi w:val="0"/>
              <w:rPr>
                <w:color w:val="auto"/>
                <w:highlight w:val="none"/>
              </w:rPr>
            </w:pPr>
            <w:r>
              <w:rPr>
                <w:color w:val="auto"/>
                <w:highlight w:val="none"/>
              </w:rPr>
              <w:t>取土（石、砂）场</w:t>
            </w:r>
          </w:p>
        </w:tc>
        <w:tc>
          <w:tcPr>
            <w:tcW w:w="5948" w:type="dxa"/>
            <w:gridSpan w:val="10"/>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4F032396">
            <w:pPr>
              <w:pStyle w:val="34"/>
              <w:bidi w:val="0"/>
              <w:rPr>
                <w:rFonts w:hint="eastAsia"/>
                <w:color w:val="auto"/>
                <w:highlight w:val="none"/>
                <w:lang w:eastAsia="zh-CN"/>
              </w:rPr>
            </w:pPr>
            <w:r>
              <w:rPr>
                <w:rFonts w:hint="eastAsia"/>
                <w:color w:val="auto"/>
                <w:highlight w:val="none"/>
                <w:lang w:val="en-US" w:eastAsia="zh-CN"/>
              </w:rPr>
              <w:t>无</w:t>
            </w:r>
          </w:p>
        </w:tc>
      </w:tr>
      <w:tr w14:paraId="06538AAD">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F336813">
            <w:pPr>
              <w:pStyle w:val="34"/>
              <w:bidi w:val="0"/>
              <w:rPr>
                <w:color w:val="auto"/>
                <w:highlight w:val="none"/>
              </w:rPr>
            </w:pPr>
          </w:p>
        </w:tc>
        <w:tc>
          <w:tcPr>
            <w:tcW w:w="1764" w:type="dxa"/>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46344BCE">
            <w:pPr>
              <w:pStyle w:val="34"/>
              <w:bidi w:val="0"/>
              <w:rPr>
                <w:color w:val="auto"/>
                <w:highlight w:val="none"/>
              </w:rPr>
            </w:pPr>
            <w:r>
              <w:rPr>
                <w:color w:val="auto"/>
                <w:highlight w:val="none"/>
              </w:rPr>
              <w:t>弃土（石、砂）场</w:t>
            </w:r>
          </w:p>
        </w:tc>
        <w:tc>
          <w:tcPr>
            <w:tcW w:w="5948" w:type="dxa"/>
            <w:gridSpan w:val="10"/>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26AC2900">
            <w:pPr>
              <w:pStyle w:val="34"/>
              <w:bidi w:val="0"/>
              <w:rPr>
                <w:color w:val="auto"/>
                <w:highlight w:val="none"/>
              </w:rPr>
            </w:pPr>
            <w:r>
              <w:rPr>
                <w:rFonts w:hint="eastAsia"/>
                <w:color w:val="auto"/>
                <w:highlight w:val="none"/>
                <w:lang w:val="en-US" w:eastAsia="zh-CN"/>
              </w:rPr>
              <w:t>无</w:t>
            </w:r>
          </w:p>
        </w:tc>
      </w:tr>
      <w:tr w14:paraId="0B274E8D">
        <w:tblPrEx>
          <w:tblCellMar>
            <w:top w:w="0" w:type="dxa"/>
            <w:left w:w="0" w:type="dxa"/>
            <w:bottom w:w="0" w:type="dxa"/>
            <w:right w:w="0" w:type="dxa"/>
          </w:tblCellMar>
        </w:tblPrEx>
        <w:trPr>
          <w:trHeight w:val="23" w:hRule="atLeast"/>
        </w:trPr>
        <w:tc>
          <w:tcPr>
            <w:tcW w:w="1389" w:type="dxa"/>
            <w:vMerge w:val="restart"/>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6B7D0D23">
            <w:pPr>
              <w:pStyle w:val="34"/>
              <w:bidi w:val="0"/>
              <w:rPr>
                <w:color w:val="auto"/>
                <w:highlight w:val="none"/>
              </w:rPr>
            </w:pPr>
            <w:r>
              <w:rPr>
                <w:color w:val="auto"/>
                <w:highlight w:val="none"/>
              </w:rPr>
              <w:t>项目区</w:t>
            </w:r>
            <w:r>
              <w:rPr>
                <w:color w:val="auto"/>
                <w:highlight w:val="none"/>
              </w:rPr>
              <w:br w:type="textWrapping"/>
            </w:r>
            <w:r>
              <w:rPr>
                <w:color w:val="auto"/>
                <w:highlight w:val="none"/>
              </w:rPr>
              <w:t>概况</w:t>
            </w:r>
          </w:p>
        </w:tc>
        <w:tc>
          <w:tcPr>
            <w:tcW w:w="1764" w:type="dxa"/>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197FD6A9">
            <w:pPr>
              <w:pStyle w:val="34"/>
              <w:bidi w:val="0"/>
              <w:rPr>
                <w:color w:val="auto"/>
                <w:highlight w:val="none"/>
              </w:rPr>
            </w:pPr>
            <w:r>
              <w:rPr>
                <w:color w:val="auto"/>
                <w:highlight w:val="none"/>
              </w:rPr>
              <w:t>涉及重点防治区情况</w:t>
            </w:r>
          </w:p>
        </w:tc>
        <w:tc>
          <w:tcPr>
            <w:tcW w:w="2276" w:type="dxa"/>
            <w:gridSpan w:val="2"/>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62134367">
            <w:pPr>
              <w:pStyle w:val="34"/>
              <w:bidi w:val="0"/>
              <w:rPr>
                <w:rFonts w:hint="default" w:eastAsia="仿宋_GB2312"/>
                <w:color w:val="auto"/>
                <w:highlight w:val="none"/>
                <w:lang w:val="en-US" w:eastAsia="zh-CN"/>
              </w:rPr>
            </w:pPr>
            <w:r>
              <w:rPr>
                <w:rFonts w:hint="eastAsia"/>
                <w:color w:val="auto"/>
                <w:highlight w:val="none"/>
                <w:lang w:val="en-US" w:eastAsia="zh-CN"/>
              </w:rPr>
              <w:t>不涉及</w:t>
            </w:r>
          </w:p>
        </w:tc>
        <w:tc>
          <w:tcPr>
            <w:tcW w:w="2145" w:type="dxa"/>
            <w:gridSpan w:val="6"/>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268CF778">
            <w:pPr>
              <w:pStyle w:val="34"/>
              <w:bidi w:val="0"/>
              <w:rPr>
                <w:color w:val="auto"/>
                <w:highlight w:val="none"/>
              </w:rPr>
            </w:pPr>
            <w:r>
              <w:rPr>
                <w:color w:val="auto"/>
                <w:highlight w:val="none"/>
              </w:rPr>
              <w:t>地貌类型</w:t>
            </w:r>
          </w:p>
        </w:tc>
        <w:tc>
          <w:tcPr>
            <w:tcW w:w="1527"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4619F0F3">
            <w:pPr>
              <w:pStyle w:val="34"/>
              <w:bidi w:val="0"/>
              <w:rPr>
                <w:rFonts w:hint="default" w:eastAsia="仿宋_GB2312"/>
                <w:color w:val="auto"/>
                <w:highlight w:val="none"/>
                <w:lang w:val="en-US" w:eastAsia="zh-CN"/>
              </w:rPr>
            </w:pPr>
            <w:r>
              <w:rPr>
                <w:rFonts w:hint="eastAsia"/>
                <w:color w:val="auto"/>
                <w:highlight w:val="none"/>
                <w:lang w:val="en-US" w:eastAsia="zh-CN"/>
              </w:rPr>
              <w:t>山地</w:t>
            </w:r>
          </w:p>
        </w:tc>
      </w:tr>
      <w:tr w14:paraId="4A29E6C5">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479DCABC">
            <w:pPr>
              <w:pStyle w:val="34"/>
              <w:bidi w:val="0"/>
              <w:rPr>
                <w:color w:val="auto"/>
                <w:highlight w:val="none"/>
              </w:rPr>
            </w:pPr>
          </w:p>
        </w:tc>
        <w:tc>
          <w:tcPr>
            <w:tcW w:w="1764" w:type="dxa"/>
            <w:tcBorders>
              <w:top w:val="single" w:color="auto" w:sz="4" w:space="0"/>
              <w:left w:val="nil"/>
              <w:bottom w:val="single" w:color="auto" w:sz="4" w:space="0"/>
              <w:right w:val="single" w:color="000000" w:sz="4" w:space="0"/>
            </w:tcBorders>
            <w:shd w:val="clear" w:color="auto" w:fill="auto"/>
            <w:tcMar>
              <w:top w:w="15" w:type="dxa"/>
              <w:left w:w="15" w:type="dxa"/>
              <w:right w:w="15" w:type="dxa"/>
            </w:tcMar>
            <w:vAlign w:val="center"/>
          </w:tcPr>
          <w:p w14:paraId="7B7BEEA8">
            <w:pPr>
              <w:pStyle w:val="34"/>
              <w:bidi w:val="0"/>
              <w:rPr>
                <w:color w:val="auto"/>
                <w:highlight w:val="none"/>
              </w:rPr>
            </w:pPr>
            <w:r>
              <w:rPr>
                <w:color w:val="auto"/>
                <w:highlight w:val="none"/>
              </w:rPr>
              <w:t>原地貌土壤侵蚀模数</w:t>
            </w:r>
            <w:r>
              <w:rPr>
                <w:color w:val="auto"/>
                <w:highlight w:val="none"/>
              </w:rPr>
              <w:br w:type="textWrapping"/>
            </w:r>
            <w:r>
              <w:rPr>
                <w:color w:val="auto"/>
                <w:highlight w:val="none"/>
              </w:rPr>
              <w:t>[t/</w:t>
            </w:r>
            <w:r>
              <w:rPr>
                <w:rFonts w:hint="eastAsia"/>
                <w:color w:val="auto"/>
                <w:highlight w:val="none"/>
              </w:rPr>
              <w:t>(</w:t>
            </w:r>
            <w:r>
              <w:rPr>
                <w:color w:val="auto"/>
                <w:highlight w:val="none"/>
              </w:rPr>
              <w:t>km</w:t>
            </w:r>
            <w:r>
              <w:rPr>
                <w:color w:val="auto"/>
                <w:highlight w:val="none"/>
                <w:vertAlign w:val="superscript"/>
              </w:rPr>
              <w:t>2</w:t>
            </w:r>
            <w:r>
              <w:rPr>
                <w:color w:val="auto"/>
                <w:highlight w:val="none"/>
              </w:rPr>
              <w:t>·a</w:t>
            </w:r>
            <w:r>
              <w:rPr>
                <w:rFonts w:hint="eastAsia"/>
                <w:color w:val="auto"/>
                <w:highlight w:val="none"/>
              </w:rPr>
              <w:t>)</w:t>
            </w:r>
            <w:r>
              <w:rPr>
                <w:color w:val="auto"/>
                <w:highlight w:val="none"/>
              </w:rPr>
              <w:t>]</w:t>
            </w:r>
          </w:p>
        </w:tc>
        <w:tc>
          <w:tcPr>
            <w:tcW w:w="2698"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40D469F5">
            <w:pPr>
              <w:pStyle w:val="34"/>
              <w:bidi w:val="0"/>
              <w:rPr>
                <w:rFonts w:hint="default"/>
                <w:color w:val="auto"/>
                <w:highlight w:val="none"/>
                <w:lang w:val="en-US" w:eastAsia="zh-CN"/>
              </w:rPr>
            </w:pPr>
            <w:r>
              <w:rPr>
                <w:rFonts w:hint="eastAsia"/>
                <w:color w:val="auto"/>
                <w:highlight w:val="none"/>
                <w:lang w:val="en-US" w:eastAsia="zh-CN"/>
              </w:rPr>
              <w:t>300</w:t>
            </w:r>
          </w:p>
        </w:tc>
        <w:tc>
          <w:tcPr>
            <w:tcW w:w="1723" w:type="dxa"/>
            <w:gridSpan w:val="5"/>
            <w:tcBorders>
              <w:top w:val="nil"/>
              <w:left w:val="nil"/>
              <w:bottom w:val="single" w:color="auto" w:sz="4" w:space="0"/>
              <w:right w:val="single" w:color="auto" w:sz="4" w:space="0"/>
            </w:tcBorders>
            <w:shd w:val="clear" w:color="auto" w:fill="auto"/>
            <w:tcMar>
              <w:top w:w="15" w:type="dxa"/>
              <w:left w:w="15" w:type="dxa"/>
              <w:right w:w="15" w:type="dxa"/>
            </w:tcMar>
            <w:vAlign w:val="center"/>
          </w:tcPr>
          <w:p w14:paraId="1C077C70">
            <w:pPr>
              <w:pStyle w:val="34"/>
              <w:bidi w:val="0"/>
              <w:rPr>
                <w:color w:val="auto"/>
                <w:highlight w:val="none"/>
              </w:rPr>
            </w:pPr>
            <w:r>
              <w:rPr>
                <w:color w:val="auto"/>
                <w:highlight w:val="none"/>
              </w:rPr>
              <w:t>容许土壤流失量</w:t>
            </w:r>
            <w:r>
              <w:rPr>
                <w:color w:val="auto"/>
                <w:highlight w:val="none"/>
              </w:rPr>
              <w:br w:type="textWrapping"/>
            </w:r>
            <w:r>
              <w:rPr>
                <w:color w:val="auto"/>
                <w:highlight w:val="none"/>
              </w:rPr>
              <w:t>[t/</w:t>
            </w:r>
            <w:r>
              <w:rPr>
                <w:rFonts w:hint="eastAsia"/>
                <w:color w:val="auto"/>
                <w:highlight w:val="none"/>
              </w:rPr>
              <w:t>(</w:t>
            </w:r>
            <w:r>
              <w:rPr>
                <w:color w:val="auto"/>
                <w:highlight w:val="none"/>
              </w:rPr>
              <w:t>km</w:t>
            </w:r>
            <w:r>
              <w:rPr>
                <w:color w:val="auto"/>
                <w:highlight w:val="none"/>
                <w:vertAlign w:val="superscript"/>
              </w:rPr>
              <w:t>2</w:t>
            </w:r>
            <w:r>
              <w:rPr>
                <w:color w:val="auto"/>
                <w:highlight w:val="none"/>
              </w:rPr>
              <w:t>·a</w:t>
            </w:r>
            <w:r>
              <w:rPr>
                <w:rFonts w:hint="eastAsia"/>
                <w:color w:val="auto"/>
                <w:highlight w:val="none"/>
              </w:rPr>
              <w:t>)</w:t>
            </w:r>
            <w:r>
              <w:rPr>
                <w:color w:val="auto"/>
                <w:highlight w:val="none"/>
              </w:rPr>
              <w:t>]</w:t>
            </w:r>
          </w:p>
        </w:tc>
        <w:tc>
          <w:tcPr>
            <w:tcW w:w="1527"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02379118">
            <w:pPr>
              <w:pStyle w:val="34"/>
              <w:bidi w:val="0"/>
              <w:rPr>
                <w:color w:val="auto"/>
                <w:highlight w:val="none"/>
              </w:rPr>
            </w:pPr>
            <w:r>
              <w:rPr>
                <w:rFonts w:hint="eastAsia"/>
                <w:color w:val="auto"/>
                <w:highlight w:val="none"/>
              </w:rPr>
              <w:t>500</w:t>
            </w:r>
            <w:r>
              <w:rPr>
                <w:color w:val="auto"/>
                <w:highlight w:val="none"/>
              </w:rPr>
              <w:t>　</w:t>
            </w:r>
          </w:p>
        </w:tc>
      </w:tr>
      <w:tr w14:paraId="1D13759A">
        <w:tblPrEx>
          <w:tblCellMar>
            <w:top w:w="0" w:type="dxa"/>
            <w:left w:w="0" w:type="dxa"/>
            <w:bottom w:w="0" w:type="dxa"/>
            <w:right w:w="0" w:type="dxa"/>
          </w:tblCellMar>
        </w:tblPrEx>
        <w:trPr>
          <w:trHeight w:val="90" w:hRule="atLeast"/>
        </w:trPr>
        <w:tc>
          <w:tcPr>
            <w:tcW w:w="3153" w:type="dxa"/>
            <w:gridSpan w:val="2"/>
            <w:tcBorders>
              <w:top w:val="single" w:color="auto" w:sz="4" w:space="0"/>
              <w:left w:val="single" w:color="auto" w:sz="4" w:space="0"/>
              <w:bottom w:val="single" w:color="auto" w:sz="4" w:space="0"/>
              <w:right w:val="single" w:color="000000" w:sz="4" w:space="0"/>
            </w:tcBorders>
            <w:shd w:val="clear" w:color="auto" w:fill="auto"/>
            <w:noWrap/>
            <w:tcMar>
              <w:top w:w="15" w:type="dxa"/>
              <w:left w:w="15" w:type="dxa"/>
              <w:right w:w="15" w:type="dxa"/>
            </w:tcMar>
            <w:vAlign w:val="center"/>
          </w:tcPr>
          <w:p w14:paraId="35E20C6A">
            <w:pPr>
              <w:pStyle w:val="34"/>
              <w:bidi w:val="0"/>
              <w:rPr>
                <w:color w:val="auto"/>
                <w:highlight w:val="none"/>
              </w:rPr>
            </w:pPr>
            <w:r>
              <w:rPr>
                <w:color w:val="auto"/>
                <w:highlight w:val="none"/>
              </w:rPr>
              <w:t>项目选址（线）水土保持评价</w:t>
            </w:r>
          </w:p>
        </w:tc>
        <w:tc>
          <w:tcPr>
            <w:tcW w:w="5948" w:type="dxa"/>
            <w:gridSpan w:val="10"/>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682E8B85">
            <w:pPr>
              <w:widowControl/>
              <w:adjustRightInd w:val="0"/>
              <w:snapToGrid w:val="0"/>
              <w:spacing w:line="240" w:lineRule="auto"/>
              <w:ind w:firstLine="0" w:firstLineChars="0"/>
              <w:jc w:val="center"/>
              <w:rPr>
                <w:rFonts w:ascii="Times New Roman" w:hAnsi="Times New Roman" w:eastAsia="仿宋_GB2312" w:cstheme="minorBidi"/>
                <w:color w:val="auto"/>
                <w:kern w:val="0"/>
                <w:sz w:val="21"/>
                <w:szCs w:val="21"/>
                <w:highlight w:val="none"/>
                <w:lang w:val="en-US" w:eastAsia="zh-CN" w:bidi="ar-SA"/>
              </w:rPr>
            </w:pPr>
            <w:r>
              <w:rPr>
                <w:rFonts w:hint="eastAsia" w:ascii="Times New Roman" w:hAnsi="Times New Roman" w:eastAsia="仿宋_GB2312" w:cs="Times New Roman"/>
                <w:color w:val="auto"/>
                <w:kern w:val="2"/>
                <w:sz w:val="18"/>
                <w:szCs w:val="18"/>
                <w:highlight w:val="none"/>
                <w:lang w:val="en-US" w:eastAsia="zh-CN" w:bidi="ar-SA"/>
              </w:rPr>
              <w:t>无限制项目建设的制约因素，选址可行。</w:t>
            </w:r>
          </w:p>
        </w:tc>
      </w:tr>
      <w:tr w14:paraId="07AC7FD8">
        <w:tblPrEx>
          <w:tblCellMar>
            <w:top w:w="0" w:type="dxa"/>
            <w:left w:w="0" w:type="dxa"/>
            <w:bottom w:w="0" w:type="dxa"/>
            <w:right w:w="0" w:type="dxa"/>
          </w:tblCellMar>
        </w:tblPrEx>
        <w:trPr>
          <w:trHeight w:val="23" w:hRule="atLeast"/>
        </w:trPr>
        <w:tc>
          <w:tcPr>
            <w:tcW w:w="3153" w:type="dxa"/>
            <w:gridSpan w:val="2"/>
            <w:tcBorders>
              <w:top w:val="single" w:color="auto" w:sz="4" w:space="0"/>
              <w:left w:val="single" w:color="auto" w:sz="4" w:space="0"/>
              <w:bottom w:val="single" w:color="auto" w:sz="4" w:space="0"/>
              <w:right w:val="single" w:color="000000" w:sz="4" w:space="0"/>
            </w:tcBorders>
            <w:shd w:val="clear" w:color="auto" w:fill="auto"/>
            <w:noWrap/>
            <w:tcMar>
              <w:top w:w="15" w:type="dxa"/>
              <w:left w:w="15" w:type="dxa"/>
              <w:right w:w="15" w:type="dxa"/>
            </w:tcMar>
            <w:vAlign w:val="center"/>
          </w:tcPr>
          <w:p w14:paraId="4A3FDD67">
            <w:pPr>
              <w:pStyle w:val="34"/>
              <w:bidi w:val="0"/>
              <w:rPr>
                <w:color w:val="auto"/>
                <w:highlight w:val="none"/>
              </w:rPr>
            </w:pPr>
            <w:r>
              <w:rPr>
                <w:rFonts w:hint="eastAsia"/>
                <w:color w:val="auto"/>
                <w:highlight w:val="none"/>
                <w:lang w:val="en-US" w:eastAsia="zh-CN"/>
              </w:rPr>
              <w:t>预测</w:t>
            </w:r>
            <w:r>
              <w:rPr>
                <w:color w:val="auto"/>
                <w:highlight w:val="none"/>
              </w:rPr>
              <w:t>水土流失总量</w:t>
            </w:r>
          </w:p>
        </w:tc>
        <w:tc>
          <w:tcPr>
            <w:tcW w:w="5948" w:type="dxa"/>
            <w:gridSpan w:val="10"/>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1E28A47C">
            <w:pPr>
              <w:pStyle w:val="34"/>
              <w:bidi w:val="0"/>
              <w:rPr>
                <w:rFonts w:hint="default"/>
                <w:color w:val="auto"/>
                <w:highlight w:val="none"/>
                <w:lang w:val="en-US"/>
              </w:rPr>
            </w:pPr>
            <w:r>
              <w:rPr>
                <w:rFonts w:hint="eastAsia"/>
                <w:color w:val="auto"/>
                <w:highlight w:val="none"/>
                <w:lang w:val="en-US" w:eastAsia="zh-CN"/>
              </w:rPr>
              <w:t>54.63t</w:t>
            </w:r>
          </w:p>
        </w:tc>
      </w:tr>
      <w:tr w14:paraId="2D77AFE7">
        <w:tblPrEx>
          <w:tblCellMar>
            <w:top w:w="0" w:type="dxa"/>
            <w:left w:w="0" w:type="dxa"/>
            <w:bottom w:w="0" w:type="dxa"/>
            <w:right w:w="0" w:type="dxa"/>
          </w:tblCellMar>
        </w:tblPrEx>
        <w:trPr>
          <w:trHeight w:val="23" w:hRule="atLeast"/>
        </w:trPr>
        <w:tc>
          <w:tcPr>
            <w:tcW w:w="3153" w:type="dxa"/>
            <w:gridSpan w:val="2"/>
            <w:tcBorders>
              <w:top w:val="single" w:color="auto" w:sz="4" w:space="0"/>
              <w:left w:val="single" w:color="auto" w:sz="4" w:space="0"/>
              <w:bottom w:val="single" w:color="auto" w:sz="4" w:space="0"/>
              <w:right w:val="single" w:color="000000" w:sz="4" w:space="0"/>
            </w:tcBorders>
            <w:shd w:val="clear" w:color="auto" w:fill="auto"/>
            <w:noWrap/>
            <w:tcMar>
              <w:top w:w="15" w:type="dxa"/>
              <w:left w:w="15" w:type="dxa"/>
              <w:right w:w="15" w:type="dxa"/>
            </w:tcMar>
            <w:vAlign w:val="center"/>
          </w:tcPr>
          <w:p w14:paraId="25495D2B">
            <w:pPr>
              <w:pStyle w:val="34"/>
              <w:bidi w:val="0"/>
              <w:rPr>
                <w:color w:val="auto"/>
                <w:highlight w:val="none"/>
              </w:rPr>
            </w:pPr>
            <w:r>
              <w:rPr>
                <w:color w:val="auto"/>
                <w:highlight w:val="none"/>
              </w:rPr>
              <w:t>防治责任范围</w:t>
            </w:r>
            <w:r>
              <w:rPr>
                <w:rFonts w:hint="eastAsia"/>
                <w:color w:val="auto"/>
                <w:highlight w:val="none"/>
                <w:lang w:eastAsia="zh-CN"/>
              </w:rPr>
              <w:t>(</w:t>
            </w:r>
            <w:r>
              <w:rPr>
                <w:rFonts w:hint="eastAsia"/>
                <w:color w:val="auto"/>
                <w:highlight w:val="none"/>
              </w:rPr>
              <w:t>hm</w:t>
            </w:r>
            <w:r>
              <w:rPr>
                <w:rFonts w:hint="eastAsia"/>
                <w:color w:val="auto"/>
                <w:highlight w:val="none"/>
                <w:vertAlign w:val="superscript"/>
              </w:rPr>
              <w:t>2</w:t>
            </w:r>
            <w:r>
              <w:rPr>
                <w:color w:val="auto"/>
                <w:highlight w:val="none"/>
              </w:rPr>
              <w:t>)</w:t>
            </w:r>
          </w:p>
        </w:tc>
        <w:tc>
          <w:tcPr>
            <w:tcW w:w="5948" w:type="dxa"/>
            <w:gridSpan w:val="10"/>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7539E623">
            <w:pPr>
              <w:pStyle w:val="34"/>
              <w:bidi w:val="0"/>
              <w:rPr>
                <w:rFonts w:hint="default"/>
                <w:color w:val="auto"/>
                <w:highlight w:val="none"/>
                <w:lang w:val="en-US" w:eastAsia="zh-CN"/>
              </w:rPr>
            </w:pPr>
            <w:r>
              <w:rPr>
                <w:rFonts w:hint="eastAsia"/>
                <w:color w:val="auto"/>
                <w:highlight w:val="none"/>
                <w:lang w:val="en-US" w:eastAsia="zh-CN"/>
              </w:rPr>
              <w:t>3.66</w:t>
            </w:r>
          </w:p>
        </w:tc>
      </w:tr>
      <w:tr w14:paraId="457F39F2">
        <w:tblPrEx>
          <w:tblCellMar>
            <w:top w:w="0" w:type="dxa"/>
            <w:left w:w="0" w:type="dxa"/>
            <w:bottom w:w="0" w:type="dxa"/>
            <w:right w:w="0" w:type="dxa"/>
          </w:tblCellMar>
        </w:tblPrEx>
        <w:trPr>
          <w:trHeight w:val="23" w:hRule="atLeast"/>
        </w:trPr>
        <w:tc>
          <w:tcPr>
            <w:tcW w:w="1389" w:type="dxa"/>
            <w:vMerge w:val="restart"/>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03D12A31">
            <w:pPr>
              <w:pStyle w:val="34"/>
              <w:bidi w:val="0"/>
              <w:rPr>
                <w:color w:val="auto"/>
                <w:highlight w:val="none"/>
              </w:rPr>
            </w:pPr>
            <w:r>
              <w:rPr>
                <w:color w:val="auto"/>
                <w:highlight w:val="none"/>
              </w:rPr>
              <w:t>防治标准等级</w:t>
            </w:r>
            <w:r>
              <w:rPr>
                <w:color w:val="auto"/>
                <w:highlight w:val="none"/>
              </w:rPr>
              <w:br w:type="textWrapping"/>
            </w:r>
            <w:r>
              <w:rPr>
                <w:color w:val="auto"/>
                <w:highlight w:val="none"/>
              </w:rPr>
              <w:t>及目标</w:t>
            </w: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4E209BC">
            <w:pPr>
              <w:pStyle w:val="34"/>
              <w:bidi w:val="0"/>
              <w:rPr>
                <w:color w:val="auto"/>
                <w:highlight w:val="none"/>
              </w:rPr>
            </w:pPr>
            <w:r>
              <w:rPr>
                <w:color w:val="auto"/>
                <w:highlight w:val="none"/>
              </w:rPr>
              <w:t>防治标准等级</w:t>
            </w:r>
          </w:p>
        </w:tc>
        <w:tc>
          <w:tcPr>
            <w:tcW w:w="5948" w:type="dxa"/>
            <w:gridSpan w:val="10"/>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4FCBF2B4">
            <w:pPr>
              <w:pStyle w:val="34"/>
              <w:bidi w:val="0"/>
              <w:rPr>
                <w:color w:val="auto"/>
                <w:highlight w:val="none"/>
              </w:rPr>
            </w:pPr>
            <w:r>
              <w:rPr>
                <w:rFonts w:hint="eastAsia"/>
                <w:color w:val="auto"/>
                <w:highlight w:val="none"/>
                <w:lang w:val="en-US" w:eastAsia="zh-CN"/>
              </w:rPr>
              <w:t>西南岩溶区一级防治标准</w:t>
            </w:r>
          </w:p>
        </w:tc>
      </w:tr>
      <w:tr w14:paraId="0017A2A9">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51CE25DD">
            <w:pPr>
              <w:pStyle w:val="34"/>
              <w:bidi w:val="0"/>
              <w:rPr>
                <w:color w:val="auto"/>
                <w:highlight w:val="none"/>
              </w:rPr>
            </w:pP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2BE9E2F0">
            <w:pPr>
              <w:pStyle w:val="34"/>
              <w:bidi w:val="0"/>
              <w:rPr>
                <w:color w:val="auto"/>
                <w:highlight w:val="none"/>
              </w:rPr>
            </w:pPr>
            <w:r>
              <w:rPr>
                <w:color w:val="auto"/>
                <w:highlight w:val="none"/>
              </w:rPr>
              <w:t>水土流失治理度(%)</w:t>
            </w:r>
          </w:p>
        </w:tc>
        <w:tc>
          <w:tcPr>
            <w:tcW w:w="2276"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10CA061B">
            <w:pPr>
              <w:pStyle w:val="34"/>
              <w:bidi w:val="0"/>
              <w:rPr>
                <w:rFonts w:hint="default"/>
                <w:color w:val="auto"/>
                <w:highlight w:val="none"/>
                <w:lang w:val="en-US" w:eastAsia="zh-CN"/>
              </w:rPr>
            </w:pPr>
            <w:r>
              <w:rPr>
                <w:rFonts w:hint="eastAsia"/>
                <w:color w:val="auto"/>
                <w:highlight w:val="none"/>
                <w:lang w:val="en-US" w:eastAsia="zh-CN"/>
              </w:rPr>
              <w:t>97</w:t>
            </w:r>
          </w:p>
        </w:tc>
        <w:tc>
          <w:tcPr>
            <w:tcW w:w="1350"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079B3A6E">
            <w:pPr>
              <w:pStyle w:val="34"/>
              <w:bidi w:val="0"/>
              <w:rPr>
                <w:color w:val="auto"/>
                <w:highlight w:val="none"/>
              </w:rPr>
            </w:pPr>
            <w:r>
              <w:rPr>
                <w:color w:val="auto"/>
                <w:highlight w:val="none"/>
              </w:rPr>
              <w:t>土壤流失控制比</w:t>
            </w:r>
          </w:p>
        </w:tc>
        <w:tc>
          <w:tcPr>
            <w:tcW w:w="2322" w:type="dxa"/>
            <w:gridSpan w:val="5"/>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73996D44">
            <w:pPr>
              <w:pStyle w:val="34"/>
              <w:bidi w:val="0"/>
              <w:rPr>
                <w:rFonts w:hint="default"/>
                <w:color w:val="auto"/>
                <w:highlight w:val="none"/>
                <w:lang w:val="en-US" w:eastAsia="zh-CN"/>
              </w:rPr>
            </w:pPr>
            <w:r>
              <w:rPr>
                <w:rFonts w:hint="eastAsia"/>
                <w:color w:val="auto"/>
                <w:highlight w:val="none"/>
                <w:lang w:val="en-US" w:eastAsia="zh-CN"/>
              </w:rPr>
              <w:t>1.67</w:t>
            </w:r>
          </w:p>
        </w:tc>
      </w:tr>
      <w:tr w14:paraId="16D0CE38">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000000" w:sz="4" w:space="0"/>
              <w:right w:val="single" w:color="auto" w:sz="4" w:space="0"/>
            </w:tcBorders>
            <w:shd w:val="clear" w:color="auto" w:fill="auto"/>
            <w:tcMar>
              <w:top w:w="15" w:type="dxa"/>
              <w:left w:w="15" w:type="dxa"/>
              <w:right w:w="15" w:type="dxa"/>
            </w:tcMar>
            <w:vAlign w:val="center"/>
          </w:tcPr>
          <w:p w14:paraId="0944B31A">
            <w:pPr>
              <w:pStyle w:val="34"/>
              <w:bidi w:val="0"/>
              <w:rPr>
                <w:color w:val="auto"/>
                <w:highlight w:val="none"/>
              </w:rPr>
            </w:pP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551B6917">
            <w:pPr>
              <w:pStyle w:val="34"/>
              <w:bidi w:val="0"/>
              <w:rPr>
                <w:color w:val="auto"/>
                <w:highlight w:val="none"/>
              </w:rPr>
            </w:pPr>
            <w:r>
              <w:rPr>
                <w:color w:val="auto"/>
                <w:highlight w:val="none"/>
              </w:rPr>
              <w:t>渣土防护率(%)</w:t>
            </w:r>
          </w:p>
        </w:tc>
        <w:tc>
          <w:tcPr>
            <w:tcW w:w="2276"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48EB967A">
            <w:pPr>
              <w:pStyle w:val="34"/>
              <w:bidi w:val="0"/>
              <w:rPr>
                <w:rFonts w:hint="default"/>
                <w:color w:val="auto"/>
                <w:highlight w:val="none"/>
                <w:lang w:val="en-US" w:eastAsia="zh-CN"/>
              </w:rPr>
            </w:pPr>
            <w:r>
              <w:rPr>
                <w:rFonts w:hint="eastAsia"/>
                <w:color w:val="auto"/>
                <w:highlight w:val="none"/>
                <w:lang w:val="en-US" w:eastAsia="zh-CN"/>
              </w:rPr>
              <w:t>94</w:t>
            </w:r>
          </w:p>
        </w:tc>
        <w:tc>
          <w:tcPr>
            <w:tcW w:w="1350"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422EB908">
            <w:pPr>
              <w:pStyle w:val="34"/>
              <w:bidi w:val="0"/>
              <w:rPr>
                <w:color w:val="auto"/>
                <w:highlight w:val="none"/>
              </w:rPr>
            </w:pPr>
            <w:r>
              <w:rPr>
                <w:color w:val="auto"/>
                <w:highlight w:val="none"/>
              </w:rPr>
              <w:t>表土保护率(%)</w:t>
            </w:r>
          </w:p>
        </w:tc>
        <w:tc>
          <w:tcPr>
            <w:tcW w:w="2322" w:type="dxa"/>
            <w:gridSpan w:val="5"/>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2F80C22B">
            <w:pPr>
              <w:pStyle w:val="34"/>
              <w:bidi w:val="0"/>
              <w:rPr>
                <w:rFonts w:hint="default"/>
                <w:color w:val="auto"/>
                <w:highlight w:val="none"/>
                <w:lang w:val="en-US" w:eastAsia="zh-CN"/>
              </w:rPr>
            </w:pPr>
            <w:r>
              <w:rPr>
                <w:rFonts w:hint="eastAsia"/>
                <w:color w:val="auto"/>
                <w:highlight w:val="none"/>
                <w:lang w:val="en-US" w:eastAsia="zh-CN"/>
              </w:rPr>
              <w:t>/</w:t>
            </w:r>
          </w:p>
        </w:tc>
      </w:tr>
      <w:tr w14:paraId="4DCCCD52">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70D5CF5F">
            <w:pPr>
              <w:pStyle w:val="34"/>
              <w:bidi w:val="0"/>
              <w:rPr>
                <w:color w:val="auto"/>
                <w:highlight w:val="none"/>
              </w:rPr>
            </w:pP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6BC46F58">
            <w:pPr>
              <w:pStyle w:val="34"/>
              <w:bidi w:val="0"/>
              <w:rPr>
                <w:color w:val="auto"/>
                <w:highlight w:val="none"/>
              </w:rPr>
            </w:pPr>
            <w:r>
              <w:rPr>
                <w:color w:val="auto"/>
                <w:highlight w:val="none"/>
              </w:rPr>
              <w:t>林草植被恢复率(%)</w:t>
            </w:r>
          </w:p>
        </w:tc>
        <w:tc>
          <w:tcPr>
            <w:tcW w:w="2276"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D81EEE8">
            <w:pPr>
              <w:pStyle w:val="34"/>
              <w:bidi w:val="0"/>
              <w:rPr>
                <w:rFonts w:hint="default"/>
                <w:color w:val="auto"/>
                <w:highlight w:val="none"/>
                <w:lang w:val="en-US" w:eastAsia="zh-CN"/>
              </w:rPr>
            </w:pPr>
            <w:r>
              <w:rPr>
                <w:rFonts w:hint="eastAsia"/>
                <w:color w:val="auto"/>
                <w:highlight w:val="none"/>
                <w:lang w:val="en-US" w:eastAsia="zh-CN"/>
              </w:rPr>
              <w:t>/</w:t>
            </w:r>
          </w:p>
        </w:tc>
        <w:tc>
          <w:tcPr>
            <w:tcW w:w="1350" w:type="dxa"/>
            <w:gridSpan w:val="3"/>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3714E13B">
            <w:pPr>
              <w:pStyle w:val="34"/>
              <w:bidi w:val="0"/>
              <w:rPr>
                <w:color w:val="auto"/>
                <w:highlight w:val="none"/>
              </w:rPr>
            </w:pPr>
            <w:r>
              <w:rPr>
                <w:color w:val="auto"/>
                <w:highlight w:val="none"/>
              </w:rPr>
              <w:t>林草覆盖率(%)</w:t>
            </w:r>
          </w:p>
        </w:tc>
        <w:tc>
          <w:tcPr>
            <w:tcW w:w="2322" w:type="dxa"/>
            <w:gridSpan w:val="5"/>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108BBE64">
            <w:pPr>
              <w:pStyle w:val="34"/>
              <w:bidi w:val="0"/>
              <w:rPr>
                <w:rFonts w:hint="default"/>
                <w:color w:val="auto"/>
                <w:highlight w:val="none"/>
                <w:lang w:val="en-US" w:eastAsia="zh-CN"/>
              </w:rPr>
            </w:pPr>
            <w:r>
              <w:rPr>
                <w:rFonts w:hint="eastAsia"/>
                <w:color w:val="auto"/>
                <w:highlight w:val="none"/>
                <w:lang w:val="en-US" w:eastAsia="zh-CN"/>
              </w:rPr>
              <w:t>/</w:t>
            </w:r>
          </w:p>
        </w:tc>
      </w:tr>
      <w:tr w14:paraId="12A8F695">
        <w:tblPrEx>
          <w:tblCellMar>
            <w:top w:w="0" w:type="dxa"/>
            <w:left w:w="0" w:type="dxa"/>
            <w:bottom w:w="0" w:type="dxa"/>
            <w:right w:w="0" w:type="dxa"/>
          </w:tblCellMar>
        </w:tblPrEx>
        <w:trPr>
          <w:trHeight w:val="23" w:hRule="atLeast"/>
        </w:trPr>
        <w:tc>
          <w:tcPr>
            <w:tcW w:w="1389" w:type="dxa"/>
            <w:vMerge w:val="restart"/>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4389855">
            <w:pPr>
              <w:pStyle w:val="34"/>
              <w:bidi w:val="0"/>
              <w:rPr>
                <w:rFonts w:hint="eastAsia" w:eastAsia="仿宋_GB2312"/>
                <w:color w:val="auto"/>
                <w:highlight w:val="none"/>
                <w:lang w:eastAsia="zh-CN"/>
              </w:rPr>
            </w:pPr>
            <w:r>
              <w:rPr>
                <w:color w:val="auto"/>
                <w:highlight w:val="none"/>
              </w:rPr>
              <w:t>水土保持措施</w:t>
            </w:r>
            <w:r>
              <w:rPr>
                <w:rFonts w:hint="eastAsia"/>
                <w:color w:val="auto"/>
                <w:highlight w:val="none"/>
                <w:lang w:eastAsia="zh-CN"/>
              </w:rPr>
              <w:t>（</w:t>
            </w:r>
            <w:r>
              <w:rPr>
                <w:rFonts w:hint="eastAsia"/>
                <w:color w:val="auto"/>
                <w:highlight w:val="none"/>
                <w:lang w:val="en-US" w:eastAsia="zh-CN"/>
              </w:rPr>
              <w:t>带“</w:t>
            </w:r>
            <w:r>
              <w:rPr>
                <w:rFonts w:hint="eastAsia"/>
                <w:color w:val="auto"/>
                <w:highlight w:val="none"/>
                <w:u w:val="single"/>
                <w:lang w:val="en-US" w:eastAsia="zh-CN"/>
              </w:rPr>
              <w:t xml:space="preserve">  </w:t>
            </w:r>
            <w:r>
              <w:rPr>
                <w:rFonts w:hint="eastAsia"/>
                <w:color w:val="auto"/>
                <w:highlight w:val="none"/>
                <w:lang w:val="en-US" w:eastAsia="zh-CN"/>
              </w:rPr>
              <w:t>”为方案新增措施</w:t>
            </w:r>
            <w:r>
              <w:rPr>
                <w:rFonts w:hint="eastAsia"/>
                <w:color w:val="auto"/>
                <w:highlight w:val="none"/>
                <w:lang w:eastAsia="zh-CN"/>
              </w:rPr>
              <w:t>）</w:t>
            </w:r>
          </w:p>
        </w:tc>
        <w:tc>
          <w:tcPr>
            <w:tcW w:w="1764"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A588553">
            <w:pPr>
              <w:pStyle w:val="34"/>
              <w:bidi w:val="0"/>
              <w:jc w:val="center"/>
              <w:rPr>
                <w:rFonts w:hint="default" w:eastAsia="仿宋_GB2312"/>
                <w:color w:val="auto"/>
                <w:highlight w:val="none"/>
                <w:lang w:val="en-US" w:eastAsia="zh-CN"/>
              </w:rPr>
            </w:pPr>
            <w:r>
              <w:rPr>
                <w:rFonts w:hint="eastAsia"/>
                <w:color w:val="auto"/>
                <w:highlight w:val="none"/>
                <w:lang w:val="en-US" w:eastAsia="zh-CN"/>
              </w:rPr>
              <w:t>建构筑物区</w:t>
            </w:r>
          </w:p>
        </w:tc>
        <w:tc>
          <w:tcPr>
            <w:tcW w:w="5948" w:type="dxa"/>
            <w:gridSpan w:val="10"/>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B0F4F47">
            <w:pPr>
              <w:pStyle w:val="34"/>
              <w:bidi w:val="0"/>
              <w:jc w:val="left"/>
              <w:rPr>
                <w:rFonts w:hint="default"/>
                <w:color w:val="auto"/>
                <w:highlight w:val="none"/>
                <w:lang w:val="en-US" w:eastAsia="zh-CN"/>
              </w:rPr>
            </w:pPr>
            <w:r>
              <w:rPr>
                <w:rFonts w:hint="eastAsia"/>
                <w:color w:val="auto"/>
                <w:highlight w:val="none"/>
                <w:lang w:val="en-US" w:eastAsia="zh-CN"/>
              </w:rPr>
              <w:t>①临时措施：</w:t>
            </w:r>
            <w:r>
              <w:rPr>
                <w:rFonts w:hint="eastAsia"/>
                <w:color w:val="auto"/>
                <w:highlight w:val="none"/>
                <w:u w:val="single"/>
                <w:lang w:val="en-US" w:eastAsia="zh-CN"/>
              </w:rPr>
              <w:t>防雨布苫盖15000m</w:t>
            </w:r>
            <w:r>
              <w:rPr>
                <w:rFonts w:hint="eastAsia"/>
                <w:color w:val="auto"/>
                <w:highlight w:val="none"/>
                <w:u w:val="single"/>
                <w:vertAlign w:val="superscript"/>
                <w:lang w:val="en-US" w:eastAsia="zh-CN"/>
              </w:rPr>
              <w:t>2</w:t>
            </w:r>
          </w:p>
        </w:tc>
      </w:tr>
      <w:tr w14:paraId="4CD8A4AE">
        <w:tblPrEx>
          <w:tblCellMar>
            <w:top w:w="0" w:type="dxa"/>
            <w:left w:w="0" w:type="dxa"/>
            <w:bottom w:w="0" w:type="dxa"/>
            <w:right w:w="0" w:type="dxa"/>
          </w:tblCellMar>
        </w:tblPrEx>
        <w:trPr>
          <w:trHeight w:val="23" w:hRule="atLeast"/>
        </w:trPr>
        <w:tc>
          <w:tcPr>
            <w:tcW w:w="1389" w:type="dxa"/>
            <w:vMerge w:val="continue"/>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7EB57E5">
            <w:pPr>
              <w:pStyle w:val="34"/>
              <w:bidi w:val="0"/>
              <w:jc w:val="left"/>
              <w:rPr>
                <w:color w:val="auto"/>
                <w:highlight w:val="none"/>
              </w:rPr>
            </w:pPr>
          </w:p>
        </w:tc>
        <w:tc>
          <w:tcPr>
            <w:tcW w:w="1764"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0BB0A104">
            <w:pPr>
              <w:pStyle w:val="34"/>
              <w:bidi w:val="0"/>
              <w:jc w:val="center"/>
              <w:rPr>
                <w:rFonts w:hint="default" w:eastAsia="仿宋_GB2312"/>
                <w:color w:val="auto"/>
                <w:highlight w:val="none"/>
                <w:lang w:val="en-US" w:eastAsia="zh-CN"/>
              </w:rPr>
            </w:pPr>
            <w:r>
              <w:rPr>
                <w:rFonts w:hint="eastAsia"/>
                <w:color w:val="auto"/>
                <w:highlight w:val="none"/>
                <w:lang w:val="en-US" w:eastAsia="zh-CN"/>
              </w:rPr>
              <w:t>硬化道路区</w:t>
            </w:r>
          </w:p>
        </w:tc>
        <w:tc>
          <w:tcPr>
            <w:tcW w:w="5948" w:type="dxa"/>
            <w:gridSpan w:val="10"/>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8FCD478">
            <w:pPr>
              <w:pStyle w:val="34"/>
              <w:bidi w:val="0"/>
              <w:jc w:val="left"/>
              <w:rPr>
                <w:rFonts w:hint="default"/>
                <w:color w:val="auto"/>
                <w:highlight w:val="none"/>
                <w:lang w:val="en-US" w:eastAsia="zh-CN"/>
              </w:rPr>
            </w:pPr>
            <w:r>
              <w:rPr>
                <w:rFonts w:hint="eastAsia"/>
                <w:color w:val="auto"/>
                <w:highlight w:val="none"/>
                <w:lang w:val="en-US" w:eastAsia="zh-CN"/>
              </w:rPr>
              <w:t>①工程</w:t>
            </w:r>
            <w:r>
              <w:rPr>
                <w:rFonts w:hint="default"/>
                <w:color w:val="auto"/>
                <w:highlight w:val="none"/>
                <w:lang w:val="en-US" w:eastAsia="zh-CN"/>
              </w:rPr>
              <w:t>措施：</w:t>
            </w:r>
            <w:r>
              <w:rPr>
                <w:rFonts w:hint="eastAsia"/>
                <w:color w:val="auto"/>
                <w:highlight w:val="none"/>
                <w:u w:val="none"/>
                <w:vertAlign w:val="baseline"/>
                <w:lang w:val="en-US" w:eastAsia="zh-CN"/>
              </w:rPr>
              <w:t>雨水管1600m、雨水口50口</w:t>
            </w:r>
          </w:p>
          <w:p w14:paraId="1301E61F">
            <w:pPr>
              <w:pStyle w:val="34"/>
              <w:bidi w:val="0"/>
              <w:jc w:val="left"/>
              <w:rPr>
                <w:rFonts w:hint="default" w:eastAsia="仿宋_GB2312"/>
                <w:color w:val="auto"/>
                <w:highlight w:val="none"/>
                <w:vertAlign w:val="baseline"/>
                <w:lang w:val="en-US" w:eastAsia="zh-CN"/>
              </w:rPr>
            </w:pPr>
            <w:r>
              <w:rPr>
                <w:rFonts w:hint="eastAsia"/>
                <w:color w:val="auto"/>
                <w:highlight w:val="none"/>
                <w:lang w:val="en-US" w:eastAsia="zh-CN"/>
              </w:rPr>
              <w:t>②临时措施：</w:t>
            </w:r>
            <w:r>
              <w:rPr>
                <w:rFonts w:hint="eastAsia"/>
                <w:i w:val="0"/>
                <w:iCs w:val="0"/>
                <w:color w:val="auto"/>
                <w:highlight w:val="none"/>
                <w:u w:val="single"/>
                <w:lang w:val="en-US" w:eastAsia="zh-CN"/>
              </w:rPr>
              <w:t>洗车系统一座、防雨布苫盖20000</w:t>
            </w:r>
            <w:r>
              <w:rPr>
                <w:rFonts w:hint="default" w:eastAsia="仿宋_GB2312"/>
                <w:i w:val="0"/>
                <w:iCs w:val="0"/>
                <w:color w:val="auto"/>
                <w:highlight w:val="none"/>
                <w:u w:val="single"/>
                <w:lang w:val="en-US" w:eastAsia="zh-CN"/>
              </w:rPr>
              <w:t>m</w:t>
            </w:r>
            <w:r>
              <w:rPr>
                <w:rFonts w:hint="default" w:eastAsia="仿宋_GB2312"/>
                <w:i w:val="0"/>
                <w:iCs w:val="0"/>
                <w:color w:val="auto"/>
                <w:highlight w:val="none"/>
                <w:u w:val="single"/>
                <w:vertAlign w:val="superscript"/>
                <w:lang w:val="en-US" w:eastAsia="zh-CN"/>
              </w:rPr>
              <w:t>2</w:t>
            </w:r>
            <w:r>
              <w:rPr>
                <w:rFonts w:hint="eastAsia"/>
                <w:i w:val="0"/>
                <w:iCs w:val="0"/>
                <w:color w:val="auto"/>
                <w:highlight w:val="none"/>
                <w:u w:val="single"/>
                <w:lang w:val="en-US" w:eastAsia="zh-CN"/>
              </w:rPr>
              <w:t>、临时排水沟500m，临时沉砂池2座</w:t>
            </w:r>
            <w:r>
              <w:rPr>
                <w:rFonts w:hint="eastAsia"/>
                <w:i w:val="0"/>
                <w:iCs w:val="0"/>
                <w:color w:val="auto"/>
                <w:highlight w:val="none"/>
                <w:u w:val="single"/>
                <w:vertAlign w:val="baseline"/>
                <w:lang w:val="en-US" w:eastAsia="zh-CN"/>
              </w:rPr>
              <w:t>。</w:t>
            </w:r>
          </w:p>
        </w:tc>
      </w:tr>
      <w:tr w14:paraId="6414C4F9">
        <w:tblPrEx>
          <w:tblCellMar>
            <w:top w:w="0" w:type="dxa"/>
            <w:left w:w="0" w:type="dxa"/>
            <w:bottom w:w="0" w:type="dxa"/>
            <w:right w:w="0" w:type="dxa"/>
          </w:tblCellMar>
        </w:tblPrEx>
        <w:trPr>
          <w:trHeight w:val="23" w:hRule="atLeast"/>
        </w:trPr>
        <w:tc>
          <w:tcPr>
            <w:tcW w:w="1389" w:type="dxa"/>
            <w:vMerge w:val="restart"/>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107A3722">
            <w:pPr>
              <w:pStyle w:val="34"/>
              <w:bidi w:val="0"/>
              <w:rPr>
                <w:color w:val="auto"/>
                <w:highlight w:val="none"/>
              </w:rPr>
            </w:pPr>
            <w:r>
              <w:rPr>
                <w:color w:val="auto"/>
                <w:highlight w:val="none"/>
              </w:rPr>
              <w:t>水土保持投资</w:t>
            </w:r>
            <w:r>
              <w:rPr>
                <w:rFonts w:hint="eastAsia"/>
                <w:color w:val="auto"/>
                <w:highlight w:val="none"/>
                <w:lang w:eastAsia="zh-CN"/>
              </w:rPr>
              <w:t>概算</w:t>
            </w:r>
            <w:r>
              <w:rPr>
                <w:color w:val="auto"/>
                <w:highlight w:val="none"/>
              </w:rPr>
              <w:br w:type="textWrapping"/>
            </w:r>
            <w:r>
              <w:rPr>
                <w:color w:val="auto"/>
                <w:highlight w:val="none"/>
              </w:rPr>
              <w:t>（万元）</w:t>
            </w:r>
          </w:p>
        </w:tc>
        <w:tc>
          <w:tcPr>
            <w:tcW w:w="1764" w:type="dxa"/>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4C114B6C">
            <w:pPr>
              <w:pStyle w:val="34"/>
              <w:bidi w:val="0"/>
              <w:rPr>
                <w:color w:val="auto"/>
                <w:highlight w:val="none"/>
              </w:rPr>
            </w:pPr>
            <w:r>
              <w:rPr>
                <w:color w:val="auto"/>
                <w:highlight w:val="none"/>
              </w:rPr>
              <w:t>工程措施</w:t>
            </w:r>
          </w:p>
        </w:tc>
        <w:tc>
          <w:tcPr>
            <w:tcW w:w="2276" w:type="dxa"/>
            <w:gridSpan w:val="2"/>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34BA8516">
            <w:pPr>
              <w:pStyle w:val="34"/>
              <w:bidi w:val="0"/>
              <w:rPr>
                <w:rFonts w:hint="default"/>
                <w:color w:val="auto"/>
                <w:highlight w:val="none"/>
                <w:lang w:val="en-US" w:eastAsia="zh-CN"/>
              </w:rPr>
            </w:pPr>
            <w:r>
              <w:rPr>
                <w:rFonts w:hint="eastAsia"/>
                <w:color w:val="auto"/>
                <w:highlight w:val="none"/>
                <w:lang w:val="en-US" w:eastAsia="zh-CN"/>
              </w:rPr>
              <w:t>46.39</w:t>
            </w:r>
          </w:p>
        </w:tc>
        <w:tc>
          <w:tcPr>
            <w:tcW w:w="1563" w:type="dxa"/>
            <w:gridSpan w:val="5"/>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705E08B8">
            <w:pPr>
              <w:pStyle w:val="34"/>
              <w:bidi w:val="0"/>
              <w:rPr>
                <w:color w:val="auto"/>
                <w:highlight w:val="none"/>
              </w:rPr>
            </w:pPr>
            <w:r>
              <w:rPr>
                <w:color w:val="auto"/>
                <w:highlight w:val="none"/>
              </w:rPr>
              <w:t>植物措施</w:t>
            </w:r>
          </w:p>
        </w:tc>
        <w:tc>
          <w:tcPr>
            <w:tcW w:w="2109" w:type="dxa"/>
            <w:gridSpan w:val="3"/>
            <w:tcBorders>
              <w:top w:val="single" w:color="auto" w:sz="4" w:space="0"/>
              <w:left w:val="nil"/>
              <w:bottom w:val="single" w:color="auto" w:sz="4" w:space="0"/>
              <w:right w:val="single" w:color="000000" w:sz="4" w:space="0"/>
            </w:tcBorders>
            <w:shd w:val="clear" w:color="auto" w:fill="auto"/>
            <w:noWrap/>
            <w:tcMar>
              <w:top w:w="15" w:type="dxa"/>
              <w:left w:w="15" w:type="dxa"/>
              <w:right w:w="15" w:type="dxa"/>
            </w:tcMar>
            <w:vAlign w:val="center"/>
          </w:tcPr>
          <w:p w14:paraId="0461B7E6">
            <w:pPr>
              <w:pStyle w:val="34"/>
              <w:bidi w:val="0"/>
              <w:rPr>
                <w:rFonts w:hint="default"/>
                <w:color w:val="auto"/>
                <w:highlight w:val="none"/>
                <w:lang w:val="en-US" w:eastAsia="zh-CN"/>
              </w:rPr>
            </w:pPr>
            <w:r>
              <w:rPr>
                <w:rFonts w:hint="eastAsia"/>
                <w:color w:val="auto"/>
                <w:highlight w:val="none"/>
                <w:lang w:val="en-US" w:eastAsia="zh-CN"/>
              </w:rPr>
              <w:t>0</w:t>
            </w:r>
          </w:p>
        </w:tc>
      </w:tr>
      <w:tr w14:paraId="24A58F95">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62A73A5E">
            <w:pPr>
              <w:pStyle w:val="34"/>
              <w:bidi w:val="0"/>
              <w:rPr>
                <w:color w:val="auto"/>
                <w:highlight w:val="none"/>
              </w:rPr>
            </w:pPr>
          </w:p>
        </w:tc>
        <w:tc>
          <w:tcPr>
            <w:tcW w:w="1764"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9A49C43">
            <w:pPr>
              <w:pStyle w:val="34"/>
              <w:bidi w:val="0"/>
              <w:rPr>
                <w:color w:val="auto"/>
                <w:highlight w:val="none"/>
              </w:rPr>
            </w:pPr>
            <w:r>
              <w:rPr>
                <w:color w:val="auto"/>
                <w:highlight w:val="none"/>
              </w:rPr>
              <w:t>临时措施</w:t>
            </w:r>
          </w:p>
        </w:tc>
        <w:tc>
          <w:tcPr>
            <w:tcW w:w="2276"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14A7D94C">
            <w:pPr>
              <w:pStyle w:val="34"/>
              <w:bidi w:val="0"/>
              <w:rPr>
                <w:rFonts w:hint="default"/>
                <w:color w:val="auto"/>
                <w:highlight w:val="none"/>
                <w:lang w:val="en-US" w:eastAsia="zh-CN"/>
              </w:rPr>
            </w:pPr>
            <w:r>
              <w:rPr>
                <w:rFonts w:hint="eastAsia"/>
                <w:color w:val="auto"/>
                <w:highlight w:val="none"/>
                <w:lang w:val="en-US" w:eastAsia="zh-CN"/>
              </w:rPr>
              <w:t>39.03</w:t>
            </w:r>
          </w:p>
        </w:tc>
        <w:tc>
          <w:tcPr>
            <w:tcW w:w="1563" w:type="dxa"/>
            <w:gridSpan w:val="5"/>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025DD98E">
            <w:pPr>
              <w:pStyle w:val="34"/>
              <w:bidi w:val="0"/>
              <w:rPr>
                <w:color w:val="auto"/>
                <w:highlight w:val="none"/>
              </w:rPr>
            </w:pPr>
            <w:r>
              <w:rPr>
                <w:color w:val="auto"/>
                <w:highlight w:val="none"/>
              </w:rPr>
              <w:t>水土保持补偿费</w:t>
            </w:r>
          </w:p>
        </w:tc>
        <w:tc>
          <w:tcPr>
            <w:tcW w:w="2109" w:type="dxa"/>
            <w:gridSpan w:val="3"/>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265F7B3">
            <w:pPr>
              <w:pStyle w:val="34"/>
              <w:bidi w:val="0"/>
              <w:rPr>
                <w:rFonts w:hint="default"/>
                <w:color w:val="auto"/>
                <w:highlight w:val="none"/>
                <w:lang w:val="en-US" w:eastAsia="zh-CN"/>
              </w:rPr>
            </w:pPr>
            <w:r>
              <w:rPr>
                <w:rFonts w:hint="eastAsia"/>
                <w:color w:val="auto"/>
                <w:highlight w:val="none"/>
                <w:lang w:val="en-US" w:eastAsia="zh-CN"/>
              </w:rPr>
              <w:t>4.761</w:t>
            </w:r>
          </w:p>
        </w:tc>
      </w:tr>
      <w:tr w14:paraId="3999C785">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7491F55B">
            <w:pPr>
              <w:pStyle w:val="34"/>
              <w:bidi w:val="0"/>
              <w:rPr>
                <w:color w:val="auto"/>
                <w:highlight w:val="none"/>
              </w:rPr>
            </w:pPr>
          </w:p>
        </w:tc>
        <w:tc>
          <w:tcPr>
            <w:tcW w:w="1764" w:type="dxa"/>
            <w:vMerge w:val="restart"/>
            <w:tcBorders>
              <w:top w:val="single" w:color="auto" w:sz="4" w:space="0"/>
              <w:left w:val="single" w:color="auto" w:sz="4" w:space="0"/>
              <w:right w:val="single" w:color="auto" w:sz="4" w:space="0"/>
            </w:tcBorders>
            <w:shd w:val="clear" w:color="auto" w:fill="auto"/>
            <w:noWrap/>
            <w:tcMar>
              <w:top w:w="15" w:type="dxa"/>
              <w:left w:w="15" w:type="dxa"/>
              <w:right w:w="15" w:type="dxa"/>
            </w:tcMar>
            <w:vAlign w:val="center"/>
          </w:tcPr>
          <w:p w14:paraId="3FDC3B97">
            <w:pPr>
              <w:pStyle w:val="34"/>
              <w:bidi w:val="0"/>
              <w:rPr>
                <w:color w:val="auto"/>
                <w:highlight w:val="none"/>
              </w:rPr>
            </w:pPr>
            <w:r>
              <w:rPr>
                <w:color w:val="auto"/>
                <w:highlight w:val="none"/>
              </w:rPr>
              <w:t>独立费用</w:t>
            </w:r>
          </w:p>
        </w:tc>
        <w:tc>
          <w:tcPr>
            <w:tcW w:w="2276"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7E3829C">
            <w:pPr>
              <w:pStyle w:val="34"/>
              <w:bidi w:val="0"/>
              <w:rPr>
                <w:rFonts w:hint="default"/>
                <w:color w:val="auto"/>
                <w:highlight w:val="none"/>
                <w:lang w:val="en-US" w:eastAsia="zh-CN"/>
              </w:rPr>
            </w:pPr>
            <w:r>
              <w:rPr>
                <w:rFonts w:hint="eastAsia"/>
                <w:color w:val="auto"/>
                <w:highlight w:val="none"/>
                <w:lang w:val="en-US" w:eastAsia="zh-CN"/>
              </w:rPr>
              <w:t>建设管理费</w:t>
            </w:r>
          </w:p>
        </w:tc>
        <w:tc>
          <w:tcPr>
            <w:tcW w:w="3672" w:type="dxa"/>
            <w:gridSpan w:val="8"/>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8A12F50">
            <w:pPr>
              <w:pStyle w:val="34"/>
              <w:bidi w:val="0"/>
              <w:rPr>
                <w:rFonts w:hint="default"/>
                <w:color w:val="auto"/>
                <w:highlight w:val="none"/>
                <w:lang w:val="en-US" w:eastAsia="zh-CN"/>
              </w:rPr>
            </w:pPr>
            <w:r>
              <w:rPr>
                <w:rFonts w:hint="eastAsia"/>
                <w:color w:val="auto"/>
                <w:highlight w:val="none"/>
                <w:lang w:val="en-US" w:eastAsia="zh-CN"/>
              </w:rPr>
              <w:t>0.78</w:t>
            </w:r>
          </w:p>
        </w:tc>
      </w:tr>
      <w:tr w14:paraId="26E19DFD">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2841ABCE">
            <w:pPr>
              <w:pStyle w:val="34"/>
              <w:bidi w:val="0"/>
              <w:rPr>
                <w:color w:val="auto"/>
                <w:highlight w:val="none"/>
              </w:rPr>
            </w:pPr>
          </w:p>
        </w:tc>
        <w:tc>
          <w:tcPr>
            <w:tcW w:w="1764" w:type="dxa"/>
            <w:vMerge w:val="continue"/>
            <w:tcBorders>
              <w:left w:val="single" w:color="auto" w:sz="4" w:space="0"/>
              <w:right w:val="single" w:color="auto" w:sz="4" w:space="0"/>
            </w:tcBorders>
            <w:shd w:val="clear" w:color="auto" w:fill="auto"/>
            <w:noWrap/>
            <w:tcMar>
              <w:top w:w="15" w:type="dxa"/>
              <w:left w:w="15" w:type="dxa"/>
              <w:right w:w="15" w:type="dxa"/>
            </w:tcMar>
            <w:vAlign w:val="center"/>
          </w:tcPr>
          <w:p w14:paraId="58D998F8">
            <w:pPr>
              <w:pStyle w:val="34"/>
              <w:bidi w:val="0"/>
              <w:rPr>
                <w:color w:val="auto"/>
                <w:highlight w:val="none"/>
              </w:rPr>
            </w:pPr>
          </w:p>
        </w:tc>
        <w:tc>
          <w:tcPr>
            <w:tcW w:w="2276"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0B49DBA6">
            <w:pPr>
              <w:pStyle w:val="34"/>
              <w:bidi w:val="0"/>
              <w:rPr>
                <w:rFonts w:hint="default"/>
                <w:color w:val="auto"/>
                <w:highlight w:val="none"/>
                <w:lang w:val="en-US" w:eastAsia="zh-CN"/>
              </w:rPr>
            </w:pPr>
            <w:r>
              <w:rPr>
                <w:rFonts w:hint="eastAsia"/>
                <w:color w:val="auto"/>
                <w:highlight w:val="none"/>
                <w:lang w:val="en-US" w:eastAsia="zh-CN"/>
              </w:rPr>
              <w:t>水土保持监理费</w:t>
            </w:r>
          </w:p>
        </w:tc>
        <w:tc>
          <w:tcPr>
            <w:tcW w:w="3672" w:type="dxa"/>
            <w:gridSpan w:val="8"/>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F6B3C6B">
            <w:pPr>
              <w:pStyle w:val="34"/>
              <w:bidi w:val="0"/>
              <w:rPr>
                <w:rFonts w:hint="default"/>
                <w:color w:val="auto"/>
                <w:highlight w:val="none"/>
                <w:lang w:val="en-US" w:eastAsia="zh-CN"/>
              </w:rPr>
            </w:pPr>
            <w:r>
              <w:rPr>
                <w:rFonts w:hint="eastAsia"/>
                <w:color w:val="auto"/>
                <w:highlight w:val="none"/>
                <w:lang w:val="en-US" w:eastAsia="zh-CN"/>
              </w:rPr>
              <w:t>0</w:t>
            </w:r>
          </w:p>
        </w:tc>
      </w:tr>
      <w:tr w14:paraId="49EB20AF">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3EBFC5EA">
            <w:pPr>
              <w:pStyle w:val="34"/>
              <w:bidi w:val="0"/>
              <w:rPr>
                <w:color w:val="auto"/>
                <w:highlight w:val="none"/>
              </w:rPr>
            </w:pPr>
          </w:p>
        </w:tc>
        <w:tc>
          <w:tcPr>
            <w:tcW w:w="1764" w:type="dxa"/>
            <w:vMerge w:val="continue"/>
            <w:tcBorders>
              <w:left w:val="single" w:color="auto" w:sz="4" w:space="0"/>
              <w:right w:val="single" w:color="auto" w:sz="4" w:space="0"/>
            </w:tcBorders>
            <w:shd w:val="clear" w:color="auto" w:fill="auto"/>
            <w:noWrap/>
            <w:tcMar>
              <w:top w:w="15" w:type="dxa"/>
              <w:left w:w="15" w:type="dxa"/>
              <w:right w:w="15" w:type="dxa"/>
            </w:tcMar>
            <w:vAlign w:val="center"/>
          </w:tcPr>
          <w:p w14:paraId="0588C236">
            <w:pPr>
              <w:pStyle w:val="34"/>
              <w:bidi w:val="0"/>
              <w:rPr>
                <w:color w:val="auto"/>
                <w:highlight w:val="none"/>
              </w:rPr>
            </w:pPr>
          </w:p>
        </w:tc>
        <w:tc>
          <w:tcPr>
            <w:tcW w:w="2276"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0DA558A0">
            <w:pPr>
              <w:pStyle w:val="34"/>
              <w:bidi w:val="0"/>
              <w:rPr>
                <w:color w:val="auto"/>
                <w:highlight w:val="none"/>
              </w:rPr>
            </w:pPr>
            <w:r>
              <w:rPr>
                <w:rFonts w:hint="eastAsia"/>
                <w:color w:val="auto"/>
                <w:highlight w:val="none"/>
                <w:lang w:val="en-US" w:eastAsia="zh-CN"/>
              </w:rPr>
              <w:t>设计费</w:t>
            </w:r>
          </w:p>
        </w:tc>
        <w:tc>
          <w:tcPr>
            <w:tcW w:w="3672" w:type="dxa"/>
            <w:gridSpan w:val="8"/>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C6264CD">
            <w:pPr>
              <w:pStyle w:val="34"/>
              <w:bidi w:val="0"/>
              <w:rPr>
                <w:rFonts w:hint="default"/>
                <w:color w:val="auto"/>
                <w:highlight w:val="none"/>
                <w:lang w:val="en-US" w:eastAsia="zh-CN"/>
              </w:rPr>
            </w:pPr>
            <w:r>
              <w:rPr>
                <w:rFonts w:hint="eastAsia"/>
                <w:color w:val="auto"/>
                <w:highlight w:val="none"/>
                <w:lang w:val="en-US" w:eastAsia="zh-CN"/>
              </w:rPr>
              <w:t>2.5</w:t>
            </w:r>
          </w:p>
        </w:tc>
      </w:tr>
      <w:tr w14:paraId="7A24EEB7">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6A877A79">
            <w:pPr>
              <w:pStyle w:val="34"/>
              <w:bidi w:val="0"/>
              <w:rPr>
                <w:color w:val="auto"/>
                <w:highlight w:val="none"/>
              </w:rPr>
            </w:pPr>
          </w:p>
        </w:tc>
        <w:tc>
          <w:tcPr>
            <w:tcW w:w="1764" w:type="dxa"/>
            <w:vMerge w:val="continue"/>
            <w:tcBorders>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33374B1">
            <w:pPr>
              <w:pStyle w:val="34"/>
              <w:bidi w:val="0"/>
              <w:rPr>
                <w:color w:val="auto"/>
                <w:highlight w:val="none"/>
              </w:rPr>
            </w:pPr>
          </w:p>
        </w:tc>
        <w:tc>
          <w:tcPr>
            <w:tcW w:w="2276" w:type="dxa"/>
            <w:gridSpan w:val="2"/>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7187FDBE">
            <w:pPr>
              <w:pStyle w:val="34"/>
              <w:bidi w:val="0"/>
              <w:rPr>
                <w:rFonts w:hint="eastAsia"/>
                <w:color w:val="auto"/>
                <w:highlight w:val="none"/>
                <w:lang w:val="en-US" w:eastAsia="zh-CN"/>
              </w:rPr>
            </w:pPr>
            <w:r>
              <w:rPr>
                <w:rFonts w:hint="eastAsia"/>
                <w:color w:val="auto"/>
                <w:highlight w:val="none"/>
                <w:lang w:val="en-US" w:eastAsia="zh-CN"/>
              </w:rPr>
              <w:t>水保设施验收技术服务费</w:t>
            </w:r>
          </w:p>
        </w:tc>
        <w:tc>
          <w:tcPr>
            <w:tcW w:w="3672" w:type="dxa"/>
            <w:gridSpan w:val="8"/>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721B7139">
            <w:pPr>
              <w:pStyle w:val="34"/>
              <w:bidi w:val="0"/>
              <w:rPr>
                <w:rFonts w:hint="default"/>
                <w:color w:val="auto"/>
                <w:highlight w:val="none"/>
                <w:lang w:val="en-US" w:eastAsia="zh-CN"/>
              </w:rPr>
            </w:pPr>
            <w:r>
              <w:rPr>
                <w:rFonts w:hint="eastAsia"/>
                <w:color w:val="auto"/>
                <w:highlight w:val="none"/>
                <w:lang w:val="en-US" w:eastAsia="zh-CN"/>
              </w:rPr>
              <w:t>1.5</w:t>
            </w:r>
          </w:p>
        </w:tc>
      </w:tr>
      <w:tr w14:paraId="02F3C065">
        <w:tblPrEx>
          <w:tblCellMar>
            <w:top w:w="0" w:type="dxa"/>
            <w:left w:w="0" w:type="dxa"/>
            <w:bottom w:w="0" w:type="dxa"/>
            <w:right w:w="0" w:type="dxa"/>
          </w:tblCellMar>
        </w:tblPrEx>
        <w:trPr>
          <w:trHeight w:val="23" w:hRule="atLeast"/>
        </w:trPr>
        <w:tc>
          <w:tcPr>
            <w:tcW w:w="1389" w:type="dxa"/>
            <w:vMerge w:val="continue"/>
            <w:tcBorders>
              <w:top w:val="nil"/>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2A27B7B8">
            <w:pPr>
              <w:pStyle w:val="34"/>
              <w:bidi w:val="0"/>
              <w:rPr>
                <w:color w:val="auto"/>
                <w:highlight w:val="none"/>
              </w:rPr>
            </w:pPr>
          </w:p>
        </w:tc>
        <w:tc>
          <w:tcPr>
            <w:tcW w:w="1764" w:type="dxa"/>
            <w:tcBorders>
              <w:top w:val="nil"/>
              <w:left w:val="nil"/>
              <w:bottom w:val="single" w:color="auto" w:sz="4" w:space="0"/>
              <w:right w:val="single" w:color="auto" w:sz="4" w:space="0"/>
            </w:tcBorders>
            <w:shd w:val="clear" w:color="auto" w:fill="auto"/>
            <w:noWrap/>
            <w:tcMar>
              <w:top w:w="15" w:type="dxa"/>
              <w:left w:w="15" w:type="dxa"/>
              <w:right w:w="15" w:type="dxa"/>
            </w:tcMar>
            <w:vAlign w:val="center"/>
          </w:tcPr>
          <w:p w14:paraId="51C41BCF">
            <w:pPr>
              <w:pStyle w:val="34"/>
              <w:bidi w:val="0"/>
              <w:rPr>
                <w:color w:val="auto"/>
                <w:highlight w:val="none"/>
              </w:rPr>
            </w:pPr>
            <w:r>
              <w:rPr>
                <w:color w:val="auto"/>
                <w:highlight w:val="none"/>
              </w:rPr>
              <w:t>总投资</w:t>
            </w:r>
          </w:p>
        </w:tc>
        <w:tc>
          <w:tcPr>
            <w:tcW w:w="5948" w:type="dxa"/>
            <w:gridSpan w:val="10"/>
            <w:tcBorders>
              <w:top w:val="single" w:color="auto" w:sz="4" w:space="0"/>
              <w:left w:val="nil"/>
              <w:bottom w:val="single" w:color="auto" w:sz="4" w:space="0"/>
              <w:right w:val="single" w:color="auto" w:sz="4" w:space="0"/>
            </w:tcBorders>
            <w:shd w:val="clear" w:color="auto" w:fill="auto"/>
            <w:noWrap/>
            <w:tcMar>
              <w:top w:w="15" w:type="dxa"/>
              <w:left w:w="15" w:type="dxa"/>
              <w:right w:w="15" w:type="dxa"/>
            </w:tcMar>
            <w:vAlign w:val="center"/>
          </w:tcPr>
          <w:p w14:paraId="50119DD7">
            <w:pPr>
              <w:pStyle w:val="34"/>
              <w:bidi w:val="0"/>
              <w:rPr>
                <w:rFonts w:hint="default"/>
                <w:color w:val="auto"/>
                <w:highlight w:val="none"/>
                <w:lang w:val="en-US" w:eastAsia="zh-CN"/>
              </w:rPr>
            </w:pPr>
            <w:r>
              <w:rPr>
                <w:rFonts w:hint="eastAsia"/>
                <w:color w:val="auto"/>
                <w:highlight w:val="none"/>
                <w:lang w:val="en-US" w:eastAsia="zh-CN"/>
              </w:rPr>
              <w:t>98.46</w:t>
            </w:r>
          </w:p>
        </w:tc>
      </w:tr>
      <w:tr w14:paraId="0A49ECA1">
        <w:tblPrEx>
          <w:tblCellMar>
            <w:top w:w="0" w:type="dxa"/>
            <w:left w:w="0" w:type="dxa"/>
            <w:bottom w:w="0" w:type="dxa"/>
            <w:right w:w="0" w:type="dxa"/>
          </w:tblCellMar>
        </w:tblPrEx>
        <w:trPr>
          <w:trHeight w:val="23" w:hRule="atLeast"/>
        </w:trPr>
        <w:tc>
          <w:tcPr>
            <w:tcW w:w="1389"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4E0E7FCB">
            <w:pPr>
              <w:pStyle w:val="34"/>
              <w:bidi w:val="0"/>
              <w:rPr>
                <w:color w:val="auto"/>
                <w:highlight w:val="none"/>
              </w:rPr>
            </w:pPr>
            <w:r>
              <w:rPr>
                <w:color w:val="auto"/>
                <w:highlight w:val="none"/>
              </w:rPr>
              <w:t>编制单位</w:t>
            </w:r>
          </w:p>
        </w:tc>
        <w:tc>
          <w:tcPr>
            <w:tcW w:w="3450"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B5056C7">
            <w:pPr>
              <w:pStyle w:val="34"/>
              <w:bidi w:val="0"/>
              <w:ind w:firstLine="0" w:firstLineChars="0"/>
              <w:rPr>
                <w:rFonts w:hint="eastAsia" w:eastAsia="仿宋_GB2312"/>
                <w:color w:val="auto"/>
                <w:highlight w:val="none"/>
                <w:lang w:eastAsia="zh-CN"/>
              </w:rPr>
            </w:pPr>
            <w:r>
              <w:rPr>
                <w:rFonts w:hint="eastAsia"/>
                <w:color w:val="auto"/>
                <w:highlight w:val="none"/>
                <w:lang w:eastAsia="zh-CN"/>
              </w:rPr>
              <w:t>四川鑫逸诚工程咨询有限公司</w:t>
            </w:r>
          </w:p>
        </w:tc>
        <w:tc>
          <w:tcPr>
            <w:tcW w:w="1505" w:type="dxa"/>
            <w:gridSpan w:val="3"/>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1981BFC">
            <w:pPr>
              <w:pStyle w:val="34"/>
              <w:bidi w:val="0"/>
              <w:rPr>
                <w:color w:val="auto"/>
                <w:highlight w:val="none"/>
              </w:rPr>
            </w:pPr>
            <w:r>
              <w:rPr>
                <w:color w:val="auto"/>
                <w:highlight w:val="none"/>
              </w:rPr>
              <w:t>建设单位</w:t>
            </w:r>
          </w:p>
        </w:tc>
        <w:tc>
          <w:tcPr>
            <w:tcW w:w="2757" w:type="dxa"/>
            <w:gridSpan w:val="6"/>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1A76B687">
            <w:pPr>
              <w:pStyle w:val="34"/>
              <w:bidi w:val="0"/>
              <w:rPr>
                <w:rFonts w:hint="eastAsia" w:eastAsia="仿宋_GB2312"/>
                <w:color w:val="auto"/>
                <w:highlight w:val="none"/>
                <w:lang w:eastAsia="zh-CN"/>
              </w:rPr>
            </w:pPr>
            <w:r>
              <w:rPr>
                <w:rFonts w:hint="eastAsia"/>
                <w:color w:val="auto"/>
                <w:highlight w:val="none"/>
                <w:lang w:eastAsia="zh-CN"/>
              </w:rPr>
              <w:t>四川虹炬精细化工有限责任公司</w:t>
            </w:r>
          </w:p>
        </w:tc>
      </w:tr>
      <w:tr w14:paraId="00737B1E">
        <w:tblPrEx>
          <w:tblCellMar>
            <w:top w:w="0" w:type="dxa"/>
            <w:left w:w="0" w:type="dxa"/>
            <w:bottom w:w="0" w:type="dxa"/>
            <w:right w:w="0" w:type="dxa"/>
          </w:tblCellMar>
        </w:tblPrEx>
        <w:trPr>
          <w:trHeight w:val="23" w:hRule="atLeast"/>
        </w:trPr>
        <w:tc>
          <w:tcPr>
            <w:tcW w:w="1389"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8C7413A">
            <w:pPr>
              <w:pStyle w:val="34"/>
              <w:bidi w:val="0"/>
              <w:rPr>
                <w:color w:val="auto"/>
                <w:highlight w:val="none"/>
              </w:rPr>
            </w:pPr>
            <w:r>
              <w:rPr>
                <w:color w:val="auto"/>
                <w:highlight w:val="none"/>
              </w:rPr>
              <w:t>法人代表及电话</w:t>
            </w:r>
          </w:p>
        </w:tc>
        <w:tc>
          <w:tcPr>
            <w:tcW w:w="3450"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269A3B3">
            <w:pPr>
              <w:widowControl/>
              <w:adjustRightInd w:val="0"/>
              <w:spacing w:line="320" w:lineRule="exact"/>
              <w:ind w:firstLine="0" w:firstLineChars="0"/>
              <w:jc w:val="center"/>
              <w:rPr>
                <w:rFonts w:hint="default"/>
                <w:color w:val="auto"/>
                <w:highlight w:val="none"/>
                <w:lang w:val="en-US" w:eastAsia="zh-CN"/>
              </w:rPr>
            </w:pPr>
            <w:r>
              <w:rPr>
                <w:rFonts w:hint="eastAsia"/>
                <w:color w:val="auto"/>
                <w:kern w:val="0"/>
                <w:sz w:val="18"/>
                <w:szCs w:val="18"/>
                <w:lang w:eastAsia="zh-CN"/>
              </w:rPr>
              <w:t>周玉如</w:t>
            </w:r>
          </w:p>
        </w:tc>
        <w:tc>
          <w:tcPr>
            <w:tcW w:w="1505" w:type="dxa"/>
            <w:gridSpan w:val="3"/>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7CECD87">
            <w:pPr>
              <w:pStyle w:val="34"/>
              <w:bidi w:val="0"/>
              <w:rPr>
                <w:color w:val="auto"/>
                <w:highlight w:val="none"/>
              </w:rPr>
            </w:pPr>
            <w:r>
              <w:rPr>
                <w:color w:val="auto"/>
                <w:highlight w:val="none"/>
              </w:rPr>
              <w:t>法人代表及电话</w:t>
            </w:r>
          </w:p>
        </w:tc>
        <w:tc>
          <w:tcPr>
            <w:tcW w:w="2757" w:type="dxa"/>
            <w:gridSpan w:val="6"/>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0E98C3E1">
            <w:pPr>
              <w:pStyle w:val="34"/>
              <w:bidi w:val="0"/>
              <w:ind w:firstLine="0" w:firstLineChars="0"/>
              <w:rPr>
                <w:rFonts w:hint="default"/>
                <w:color w:val="auto"/>
                <w:highlight w:val="none"/>
                <w:lang w:val="en-US" w:eastAsia="zh-CN"/>
              </w:rPr>
            </w:pPr>
            <w:r>
              <w:rPr>
                <w:rFonts w:hint="eastAsia"/>
                <w:color w:val="auto"/>
                <w:highlight w:val="none"/>
                <w:lang w:val="en-US" w:eastAsia="zh-CN"/>
              </w:rPr>
              <w:t>刘克胜/-</w:t>
            </w:r>
          </w:p>
        </w:tc>
      </w:tr>
      <w:tr w14:paraId="7E6AA6E8">
        <w:tblPrEx>
          <w:tblCellMar>
            <w:top w:w="0" w:type="dxa"/>
            <w:left w:w="0" w:type="dxa"/>
            <w:bottom w:w="0" w:type="dxa"/>
            <w:right w:w="0" w:type="dxa"/>
          </w:tblCellMar>
        </w:tblPrEx>
        <w:trPr>
          <w:trHeight w:val="23" w:hRule="atLeast"/>
        </w:trPr>
        <w:tc>
          <w:tcPr>
            <w:tcW w:w="1389"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6BE671B">
            <w:pPr>
              <w:pStyle w:val="34"/>
              <w:bidi w:val="0"/>
              <w:rPr>
                <w:color w:val="auto"/>
                <w:highlight w:val="none"/>
              </w:rPr>
            </w:pPr>
            <w:r>
              <w:rPr>
                <w:color w:val="auto"/>
                <w:highlight w:val="none"/>
              </w:rPr>
              <w:t>地址</w:t>
            </w:r>
          </w:p>
        </w:tc>
        <w:tc>
          <w:tcPr>
            <w:tcW w:w="3450"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027DC91F">
            <w:pPr>
              <w:widowControl/>
              <w:adjustRightInd w:val="0"/>
              <w:spacing w:line="320" w:lineRule="exact"/>
              <w:ind w:firstLine="0" w:firstLineChars="0"/>
              <w:jc w:val="center"/>
              <w:rPr>
                <w:rFonts w:hint="default"/>
                <w:color w:val="auto"/>
                <w:highlight w:val="none"/>
                <w:lang w:val="en-US"/>
              </w:rPr>
            </w:pPr>
            <w:r>
              <w:rPr>
                <w:rFonts w:hint="eastAsia"/>
                <w:color w:val="auto"/>
                <w:kern w:val="0"/>
                <w:sz w:val="18"/>
                <w:szCs w:val="18"/>
              </w:rPr>
              <w:t>成都武侯区武侯大道铁佛段1号1栋</w:t>
            </w:r>
          </w:p>
        </w:tc>
        <w:tc>
          <w:tcPr>
            <w:tcW w:w="1505" w:type="dxa"/>
            <w:gridSpan w:val="3"/>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2A0E034">
            <w:pPr>
              <w:pStyle w:val="34"/>
              <w:bidi w:val="0"/>
              <w:rPr>
                <w:color w:val="auto"/>
                <w:highlight w:val="none"/>
              </w:rPr>
            </w:pPr>
            <w:r>
              <w:rPr>
                <w:color w:val="auto"/>
                <w:highlight w:val="none"/>
              </w:rPr>
              <w:t>地址</w:t>
            </w:r>
          </w:p>
        </w:tc>
        <w:tc>
          <w:tcPr>
            <w:tcW w:w="2757" w:type="dxa"/>
            <w:gridSpan w:val="6"/>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2C8469F">
            <w:pPr>
              <w:pStyle w:val="34"/>
              <w:bidi w:val="0"/>
              <w:rPr>
                <w:color w:val="auto"/>
                <w:highlight w:val="none"/>
              </w:rPr>
            </w:pPr>
          </w:p>
        </w:tc>
      </w:tr>
      <w:tr w14:paraId="4988FEBD">
        <w:tblPrEx>
          <w:tblCellMar>
            <w:top w:w="0" w:type="dxa"/>
            <w:left w:w="0" w:type="dxa"/>
            <w:bottom w:w="0" w:type="dxa"/>
            <w:right w:w="0" w:type="dxa"/>
          </w:tblCellMar>
        </w:tblPrEx>
        <w:trPr>
          <w:trHeight w:val="349" w:hRule="atLeast"/>
        </w:trPr>
        <w:tc>
          <w:tcPr>
            <w:tcW w:w="1389"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6BD465D">
            <w:pPr>
              <w:pStyle w:val="34"/>
              <w:rPr>
                <w:color w:val="auto"/>
                <w:sz w:val="18"/>
                <w:szCs w:val="18"/>
                <w:highlight w:val="none"/>
              </w:rPr>
            </w:pPr>
            <w:r>
              <w:rPr>
                <w:color w:val="auto"/>
                <w:sz w:val="18"/>
                <w:szCs w:val="18"/>
                <w:highlight w:val="none"/>
              </w:rPr>
              <w:t>联系人及电话</w:t>
            </w:r>
          </w:p>
        </w:tc>
        <w:tc>
          <w:tcPr>
            <w:tcW w:w="3450"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9869041">
            <w:pPr>
              <w:widowControl/>
              <w:adjustRightInd w:val="0"/>
              <w:spacing w:line="320" w:lineRule="exact"/>
              <w:ind w:firstLine="0" w:firstLineChars="0"/>
              <w:jc w:val="center"/>
              <w:rPr>
                <w:rFonts w:hint="default" w:eastAsia="仿宋_GB2312"/>
                <w:color w:val="auto"/>
                <w:sz w:val="18"/>
                <w:szCs w:val="18"/>
                <w:highlight w:val="none"/>
                <w:lang w:val="en-US" w:eastAsia="zh-CN"/>
              </w:rPr>
            </w:pPr>
            <w:r>
              <w:rPr>
                <w:rFonts w:hint="eastAsia"/>
                <w:color w:val="auto"/>
                <w:sz w:val="18"/>
                <w:szCs w:val="18"/>
                <w:highlight w:val="none"/>
                <w:lang w:val="en-US" w:eastAsia="zh-CN"/>
              </w:rPr>
              <w:t>赵诗淇</w:t>
            </w:r>
            <w:r>
              <w:rPr>
                <w:rFonts w:hint="default" w:eastAsia="仿宋_GB2312"/>
                <w:color w:val="auto"/>
                <w:sz w:val="18"/>
                <w:szCs w:val="18"/>
                <w:highlight w:val="none"/>
                <w:lang w:val="en-US" w:eastAsia="zh-CN"/>
              </w:rPr>
              <w:t>/</w:t>
            </w:r>
            <w:r>
              <w:rPr>
                <w:rFonts w:hint="eastAsia"/>
                <w:color w:val="auto"/>
                <w:sz w:val="18"/>
                <w:szCs w:val="18"/>
                <w:highlight w:val="none"/>
                <w:lang w:val="en-US" w:eastAsia="zh-CN"/>
              </w:rPr>
              <w:t>15181768239</w:t>
            </w:r>
          </w:p>
        </w:tc>
        <w:tc>
          <w:tcPr>
            <w:tcW w:w="1505" w:type="dxa"/>
            <w:gridSpan w:val="3"/>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1CD9950F">
            <w:pPr>
              <w:pStyle w:val="34"/>
              <w:rPr>
                <w:color w:val="auto"/>
                <w:sz w:val="18"/>
                <w:szCs w:val="18"/>
                <w:highlight w:val="none"/>
              </w:rPr>
            </w:pPr>
            <w:r>
              <w:rPr>
                <w:color w:val="auto"/>
                <w:sz w:val="18"/>
                <w:szCs w:val="18"/>
                <w:highlight w:val="none"/>
              </w:rPr>
              <w:t>联系人及电话</w:t>
            </w:r>
          </w:p>
        </w:tc>
        <w:tc>
          <w:tcPr>
            <w:tcW w:w="2757" w:type="dxa"/>
            <w:gridSpan w:val="6"/>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7FC1A839">
            <w:pPr>
              <w:pStyle w:val="34"/>
              <w:bidi w:val="0"/>
              <w:ind w:firstLine="0" w:firstLineChars="0"/>
              <w:jc w:val="center"/>
              <w:rPr>
                <w:rFonts w:hint="default" w:eastAsia="仿宋_GB2312"/>
                <w:color w:val="auto"/>
                <w:sz w:val="18"/>
                <w:szCs w:val="18"/>
                <w:highlight w:val="none"/>
                <w:lang w:val="en-US" w:eastAsia="zh-CN"/>
              </w:rPr>
            </w:pPr>
            <w:r>
              <w:rPr>
                <w:rFonts w:hint="eastAsia"/>
                <w:color w:val="auto"/>
                <w:highlight w:val="none"/>
                <w:lang w:val="en-US" w:eastAsia="zh-CN"/>
              </w:rPr>
              <w:t>梁/18116550420</w:t>
            </w:r>
          </w:p>
        </w:tc>
      </w:tr>
      <w:tr w14:paraId="2E89E5E3">
        <w:tblPrEx>
          <w:tblCellMar>
            <w:top w:w="0" w:type="dxa"/>
            <w:left w:w="0" w:type="dxa"/>
            <w:bottom w:w="0" w:type="dxa"/>
            <w:right w:w="0" w:type="dxa"/>
          </w:tblCellMar>
        </w:tblPrEx>
        <w:trPr>
          <w:trHeight w:val="23" w:hRule="atLeast"/>
        </w:trPr>
        <w:tc>
          <w:tcPr>
            <w:tcW w:w="1389"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491B2048">
            <w:pPr>
              <w:pStyle w:val="34"/>
              <w:rPr>
                <w:color w:val="auto"/>
                <w:sz w:val="18"/>
                <w:szCs w:val="18"/>
                <w:highlight w:val="none"/>
              </w:rPr>
            </w:pPr>
            <w:r>
              <w:rPr>
                <w:color w:val="auto"/>
                <w:sz w:val="18"/>
                <w:szCs w:val="18"/>
                <w:highlight w:val="none"/>
              </w:rPr>
              <w:t>电子邮箱</w:t>
            </w:r>
          </w:p>
        </w:tc>
        <w:tc>
          <w:tcPr>
            <w:tcW w:w="3450"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894007C">
            <w:pPr>
              <w:widowControl/>
              <w:adjustRightInd w:val="0"/>
              <w:spacing w:line="320" w:lineRule="exact"/>
              <w:ind w:firstLine="0" w:firstLineChars="0"/>
              <w:jc w:val="center"/>
              <w:rPr>
                <w:color w:val="auto"/>
                <w:sz w:val="18"/>
                <w:szCs w:val="18"/>
                <w:highlight w:val="none"/>
              </w:rPr>
            </w:pPr>
            <w:r>
              <w:rPr>
                <w:rFonts w:hint="eastAsia"/>
                <w:color w:val="auto"/>
                <w:kern w:val="0"/>
                <w:sz w:val="18"/>
                <w:szCs w:val="18"/>
                <w:highlight w:val="none"/>
                <w:lang w:val="en-US" w:eastAsia="zh-CN"/>
              </w:rPr>
              <w:t>905711200</w:t>
            </w:r>
            <w:r>
              <w:rPr>
                <w:rFonts w:hint="eastAsia"/>
                <w:color w:val="auto"/>
                <w:kern w:val="0"/>
                <w:sz w:val="18"/>
                <w:szCs w:val="18"/>
                <w:highlight w:val="none"/>
              </w:rPr>
              <w:t>@qq.com</w:t>
            </w:r>
          </w:p>
        </w:tc>
        <w:tc>
          <w:tcPr>
            <w:tcW w:w="1505" w:type="dxa"/>
            <w:gridSpan w:val="3"/>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09F315C">
            <w:pPr>
              <w:pStyle w:val="34"/>
              <w:rPr>
                <w:color w:val="auto"/>
                <w:sz w:val="18"/>
                <w:szCs w:val="18"/>
                <w:highlight w:val="none"/>
              </w:rPr>
            </w:pPr>
            <w:r>
              <w:rPr>
                <w:color w:val="auto"/>
                <w:sz w:val="18"/>
                <w:szCs w:val="18"/>
                <w:highlight w:val="none"/>
              </w:rPr>
              <w:t>电子邮箱</w:t>
            </w:r>
          </w:p>
        </w:tc>
        <w:tc>
          <w:tcPr>
            <w:tcW w:w="2757" w:type="dxa"/>
            <w:gridSpan w:val="6"/>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38667D38">
            <w:pPr>
              <w:pStyle w:val="34"/>
              <w:rPr>
                <w:color w:val="auto"/>
                <w:sz w:val="18"/>
                <w:szCs w:val="18"/>
                <w:highlight w:val="none"/>
              </w:rPr>
            </w:pPr>
            <w:r>
              <w:rPr>
                <w:rFonts w:hint="eastAsia"/>
                <w:color w:val="auto"/>
                <w:sz w:val="18"/>
                <w:szCs w:val="18"/>
                <w:highlight w:val="none"/>
              </w:rPr>
              <w:t>/</w:t>
            </w:r>
          </w:p>
        </w:tc>
      </w:tr>
    </w:tbl>
    <w:p w14:paraId="5E853D62">
      <w:pPr>
        <w:pStyle w:val="2"/>
        <w:rPr>
          <w:rFonts w:hint="eastAsia"/>
          <w:color w:val="0000FF"/>
        </w:rPr>
        <w:sectPr>
          <w:headerReference r:id="rId7" w:type="default"/>
          <w:footerReference r:id="rId8" w:type="default"/>
          <w:pgSz w:w="11906" w:h="16838"/>
          <w:pgMar w:top="1417" w:right="1417" w:bottom="1417" w:left="1417" w:header="1134" w:footer="1134" w:gutter="0"/>
          <w:pgBorders>
            <w:top w:val="none" w:sz="0" w:space="0"/>
            <w:left w:val="none" w:sz="0" w:space="0"/>
            <w:bottom w:val="none" w:sz="0" w:space="0"/>
            <w:right w:val="none" w:sz="0" w:space="0"/>
          </w:pgBorders>
          <w:pgNumType w:fmt="decimal" w:start="1"/>
          <w:cols w:space="425" w:num="1"/>
          <w:docGrid w:type="lines" w:linePitch="312" w:charSpace="0"/>
        </w:sectPr>
      </w:pPr>
    </w:p>
    <w:p w14:paraId="390D4CA7">
      <w:pPr>
        <w:pStyle w:val="2"/>
        <w:rPr>
          <w:color w:val="auto"/>
        </w:rPr>
      </w:pPr>
      <w:bookmarkStart w:id="52" w:name="_Toc11753"/>
      <w:r>
        <w:rPr>
          <w:rFonts w:hint="eastAsia"/>
          <w:color w:val="auto"/>
        </w:rPr>
        <w:t>1 综合说明</w:t>
      </w:r>
      <w:bookmarkEnd w:id="52"/>
    </w:p>
    <w:p w14:paraId="1D6339A0">
      <w:pPr>
        <w:pStyle w:val="3"/>
        <w:numPr>
          <w:ilvl w:val="1"/>
          <w:numId w:val="1"/>
        </w:numPr>
        <w:rPr>
          <w:color w:val="auto"/>
        </w:rPr>
      </w:pPr>
      <w:bookmarkStart w:id="53" w:name="_Toc11315"/>
      <w:r>
        <w:rPr>
          <w:rFonts w:hint="eastAsia"/>
          <w:color w:val="auto"/>
        </w:rPr>
        <w:t>项目简况</w:t>
      </w:r>
      <w:bookmarkEnd w:id="53"/>
    </w:p>
    <w:p w14:paraId="2FF2EE06">
      <w:pPr>
        <w:pStyle w:val="5"/>
        <w:numPr>
          <w:ilvl w:val="2"/>
          <w:numId w:val="1"/>
        </w:numPr>
        <w:rPr>
          <w:color w:val="auto"/>
        </w:rPr>
      </w:pPr>
      <w:r>
        <w:rPr>
          <w:rFonts w:hint="eastAsia"/>
          <w:color w:val="auto"/>
        </w:rPr>
        <w:t>项目基本情况</w:t>
      </w:r>
    </w:p>
    <w:p w14:paraId="3823BD6A">
      <w:pPr>
        <w:numPr>
          <w:ilvl w:val="0"/>
          <w:numId w:val="2"/>
        </w:numPr>
        <w:bidi w:val="0"/>
        <w:rPr>
          <w:rFonts w:hint="eastAsia"/>
          <w:b/>
          <w:bCs/>
          <w:color w:val="auto"/>
          <w:lang w:val="en-US" w:eastAsia="zh-CN"/>
        </w:rPr>
      </w:pPr>
      <w:r>
        <w:rPr>
          <w:rFonts w:hint="eastAsia"/>
          <w:b/>
          <w:bCs/>
          <w:color w:val="auto"/>
          <w:lang w:val="en-US" w:eastAsia="zh-CN"/>
        </w:rPr>
        <w:t>项目建设的必要性：</w:t>
      </w:r>
    </w:p>
    <w:p w14:paraId="7966CFF6">
      <w:pPr>
        <w:bidi w:val="0"/>
        <w:rPr>
          <w:rFonts w:hint="eastAsia"/>
          <w:color w:val="auto"/>
          <w:lang w:val="en-US" w:eastAsia="zh-CN"/>
        </w:rPr>
      </w:pPr>
      <w:r>
        <w:rPr>
          <w:rFonts w:hint="eastAsia"/>
          <w:color w:val="auto"/>
          <w:lang w:val="en-US" w:eastAsia="zh-CN"/>
        </w:rPr>
        <w:t>乙炔生产工厂和充装站一期项目（以下简称本项目）是四川巨宏新材料有限责任公司C5/C9 系列精细化工新材料项目配套建设项目，业主单位为四川虹炬精细化工有限责任公司。</w:t>
      </w:r>
    </w:p>
    <w:p w14:paraId="7DF5F346">
      <w:pPr>
        <w:bidi w:val="0"/>
        <w:rPr>
          <w:rFonts w:hint="eastAsia"/>
          <w:color w:val="auto"/>
          <w:lang w:val="en-US" w:eastAsia="zh-CN"/>
        </w:rPr>
      </w:pPr>
      <w:r>
        <w:rPr>
          <w:rFonts w:hint="eastAsia"/>
          <w:color w:val="auto"/>
          <w:lang w:val="en-US" w:eastAsia="zh-CN"/>
        </w:rPr>
        <w:t>四川巨宏新材料有限责任公司拟在雅安经开区永兴片区投资建设，项目建成后年产 14200 吨 C5/C9 系列精细化工新材料，但园区及雅安现境内无乙炔生产企业，为保证巨宏公司生产所需乙炔气体供应，四川虹炬精细化工有限责任公司与四川巨宏新材料有限责任公司协商达成一致，在四川巨宏新材料有限责任公司北侧现有空地上投资新建配套设施，为四川巨宏新材料有限责任公司提供生产所需的乙炔气体，随着雅安经济开发区批准成为化工集中区后，后续入驻企业对乙炔需求也会增加预计使用乙炔将达到每天 150 吨左右，本项目的建成也会进一步优化乙炔在园区内的供需结构。同时解决园区企业因大量使用乙炔、液化石油气、二甲醚、丙烯、丙烷等气体带来的运输、人工搬运、充装等安全问题，可见本项目作为四川巨宏新材料有限责任公司配套建设项目及满足园区内企业、雅安市境内企业使用乙炔、液化石油气、二甲醚、丙烯、丙烷等气体具有必要性。</w:t>
      </w:r>
    </w:p>
    <w:p w14:paraId="026F337F">
      <w:pPr>
        <w:pStyle w:val="5"/>
        <w:numPr>
          <w:ilvl w:val="2"/>
          <w:numId w:val="1"/>
        </w:numPr>
        <w:rPr>
          <w:color w:val="auto"/>
        </w:rPr>
      </w:pPr>
      <w:r>
        <w:rPr>
          <w:rFonts w:hint="eastAsia"/>
          <w:color w:val="auto"/>
          <w:highlight w:val="none"/>
          <w:lang w:val="en-US" w:eastAsia="zh-CN"/>
        </w:rPr>
        <w:t xml:space="preserve"> </w:t>
      </w:r>
      <w:r>
        <w:rPr>
          <w:rFonts w:hint="eastAsia"/>
          <w:color w:val="auto"/>
        </w:rPr>
        <w:t>项目前期工作进展情况</w:t>
      </w:r>
    </w:p>
    <w:p w14:paraId="5D6ABE28">
      <w:pPr>
        <w:keepNext w:val="0"/>
        <w:keepLines w:val="0"/>
        <w:widowControl/>
        <w:suppressLineNumbers w:val="0"/>
        <w:jc w:val="left"/>
      </w:pPr>
      <w:r>
        <w:rPr>
          <w:rFonts w:hint="eastAsia"/>
          <w:lang w:val="en-US" w:eastAsia="zh-CN"/>
        </w:rPr>
        <w:t>2022年9月15日四川虹炬精细化工有限责任公司</w:t>
      </w:r>
      <w:r>
        <w:t>取得了本项目的四川省固定资产投资项目备案表（</w:t>
      </w:r>
      <w:r>
        <w:rPr>
          <w:rFonts w:hint="eastAsia"/>
          <w:lang w:val="en-US" w:eastAsia="zh-CN"/>
        </w:rPr>
        <w:t>川投资备【</w:t>
      </w:r>
      <w:r>
        <w:rPr>
          <w:rFonts w:hint="default"/>
          <w:lang w:val="en-US" w:eastAsia="zh-CN"/>
        </w:rPr>
        <w:t>2209-511850-04-01-883361</w:t>
      </w:r>
      <w:r>
        <w:rPr>
          <w:rFonts w:hint="eastAsia"/>
          <w:lang w:val="en-US" w:eastAsia="zh-CN"/>
        </w:rPr>
        <w:t>】</w:t>
      </w:r>
      <w:r>
        <w:rPr>
          <w:rFonts w:hint="default"/>
          <w:lang w:val="en-US" w:eastAsia="zh-CN"/>
        </w:rPr>
        <w:t xml:space="preserve">FGQB-0066 </w:t>
      </w:r>
      <w:r>
        <w:rPr>
          <w:rFonts w:hint="eastAsia"/>
          <w:lang w:val="en-US" w:eastAsia="zh-CN"/>
        </w:rPr>
        <w:t>号</w:t>
      </w:r>
      <w:r>
        <w:t>）；</w:t>
      </w:r>
    </w:p>
    <w:p w14:paraId="0BFC470E">
      <w:pPr>
        <w:keepNext w:val="0"/>
        <w:keepLines w:val="0"/>
        <w:widowControl/>
        <w:suppressLineNumbers w:val="0"/>
        <w:jc w:val="left"/>
      </w:pPr>
      <w:r>
        <w:rPr>
          <w:rFonts w:ascii="Times New Roman" w:hAnsi="Times New Roman" w:eastAsia="Times New Roman" w:cs="Times New Roman"/>
          <w:color w:val="auto"/>
          <w:spacing w:val="-1"/>
          <w:sz w:val="24"/>
          <w:szCs w:val="24"/>
        </w:rPr>
        <w:t>20</w:t>
      </w:r>
      <w:r>
        <w:rPr>
          <w:rFonts w:hint="eastAsia" w:ascii="Times New Roman" w:hAnsi="Times New Roman" w:eastAsia="宋体" w:cs="Times New Roman"/>
          <w:color w:val="auto"/>
          <w:spacing w:val="-1"/>
          <w:sz w:val="24"/>
          <w:szCs w:val="24"/>
          <w:lang w:val="en-US" w:eastAsia="zh-CN"/>
        </w:rPr>
        <w:t>2</w:t>
      </w:r>
      <w:r>
        <w:rPr>
          <w:rFonts w:hint="eastAsia" w:eastAsia="宋体" w:cs="Times New Roman"/>
          <w:color w:val="auto"/>
          <w:spacing w:val="-1"/>
          <w:sz w:val="24"/>
          <w:szCs w:val="24"/>
          <w:lang w:val="en-US" w:eastAsia="zh-CN"/>
        </w:rPr>
        <w:t>4</w:t>
      </w:r>
      <w:r>
        <w:rPr>
          <w:color w:val="auto"/>
          <w:spacing w:val="-1"/>
          <w:sz w:val="24"/>
          <w:szCs w:val="24"/>
        </w:rPr>
        <w:t>年</w:t>
      </w:r>
      <w:r>
        <w:rPr>
          <w:rFonts w:hint="eastAsia"/>
          <w:color w:val="auto"/>
          <w:spacing w:val="-1"/>
          <w:sz w:val="24"/>
          <w:szCs w:val="24"/>
          <w:lang w:val="en-US" w:eastAsia="zh-CN"/>
        </w:rPr>
        <w:t>5</w:t>
      </w:r>
      <w:r>
        <w:rPr>
          <w:color w:val="auto"/>
          <w:spacing w:val="-1"/>
          <w:sz w:val="24"/>
          <w:szCs w:val="24"/>
        </w:rPr>
        <w:t>月，</w:t>
      </w:r>
      <w:r>
        <w:rPr>
          <w:rFonts w:hint="eastAsia"/>
          <w:color w:val="auto"/>
          <w:lang w:val="en-US" w:eastAsia="zh-CN"/>
        </w:rPr>
        <w:t>山东齐创石化工程有限公司</w:t>
      </w:r>
      <w:r>
        <w:rPr>
          <w:color w:val="auto"/>
          <w:spacing w:val="-2"/>
          <w:sz w:val="24"/>
          <w:szCs w:val="24"/>
        </w:rPr>
        <w:t>完成了本项目</w:t>
      </w:r>
      <w:r>
        <w:rPr>
          <w:rFonts w:hint="eastAsia"/>
          <w:color w:val="auto"/>
          <w:spacing w:val="-2"/>
          <w:sz w:val="24"/>
          <w:szCs w:val="24"/>
          <w:lang w:val="en-US" w:eastAsia="zh-CN"/>
        </w:rPr>
        <w:t>设计图纸</w:t>
      </w:r>
      <w:r>
        <w:rPr>
          <w:color w:val="auto"/>
          <w:spacing w:val="-20"/>
          <w:sz w:val="24"/>
          <w:szCs w:val="24"/>
        </w:rPr>
        <w:t>；</w:t>
      </w:r>
    </w:p>
    <w:p w14:paraId="60C97CE8">
      <w:pPr>
        <w:ind w:firstLine="480"/>
        <w:rPr>
          <w:rFonts w:hint="eastAsia"/>
          <w:color w:val="auto"/>
        </w:rPr>
      </w:pPr>
      <w:r>
        <w:rPr>
          <w:rFonts w:hint="eastAsia"/>
          <w:color w:val="auto"/>
        </w:rPr>
        <w:t>20</w:t>
      </w:r>
      <w:r>
        <w:rPr>
          <w:rFonts w:hint="eastAsia"/>
          <w:color w:val="auto"/>
          <w:lang w:val="en-US" w:eastAsia="zh-CN"/>
        </w:rPr>
        <w:t>24</w:t>
      </w:r>
      <w:r>
        <w:rPr>
          <w:rFonts w:hint="eastAsia"/>
          <w:color w:val="auto"/>
        </w:rPr>
        <w:t>年</w:t>
      </w:r>
      <w:r>
        <w:rPr>
          <w:rFonts w:hint="eastAsia"/>
          <w:color w:val="auto"/>
          <w:lang w:val="en-US" w:eastAsia="zh-CN"/>
        </w:rPr>
        <w:t>7</w:t>
      </w:r>
      <w:r>
        <w:rPr>
          <w:rFonts w:hint="eastAsia"/>
          <w:color w:val="auto"/>
        </w:rPr>
        <w:t>月</w:t>
      </w:r>
      <w:r>
        <w:rPr>
          <w:rFonts w:hint="eastAsia"/>
          <w:color w:val="auto"/>
          <w:lang w:val="en-US" w:eastAsia="zh-CN"/>
        </w:rPr>
        <w:t>初</w:t>
      </w:r>
      <w:r>
        <w:rPr>
          <w:rFonts w:hint="eastAsia"/>
          <w:color w:val="auto"/>
        </w:rPr>
        <w:t>项目建设单位</w:t>
      </w:r>
      <w:r>
        <w:rPr>
          <w:rFonts w:hint="eastAsia"/>
          <w:color w:val="auto"/>
          <w:lang w:eastAsia="zh-CN"/>
        </w:rPr>
        <w:t>四川虹炬精细化工有限责任公司</w:t>
      </w:r>
      <w:r>
        <w:rPr>
          <w:rFonts w:hint="eastAsia"/>
          <w:color w:val="auto"/>
        </w:rPr>
        <w:t>委托</w:t>
      </w:r>
      <w:r>
        <w:rPr>
          <w:rFonts w:hint="eastAsia"/>
          <w:color w:val="auto"/>
          <w:lang w:eastAsia="zh-CN"/>
        </w:rPr>
        <w:t>四川鑫逸诚工程咨询有限公司</w:t>
      </w:r>
      <w:r>
        <w:rPr>
          <w:color w:val="auto"/>
        </w:rPr>
        <w:t>（以下简称“我公司”）编制本项目水土保持方案报告</w:t>
      </w:r>
      <w:r>
        <w:rPr>
          <w:rFonts w:hint="eastAsia"/>
          <w:color w:val="auto"/>
          <w:lang w:eastAsia="zh-CN"/>
        </w:rPr>
        <w:t>表</w:t>
      </w:r>
      <w:r>
        <w:rPr>
          <w:color w:val="auto"/>
        </w:rPr>
        <w:t>（委托书详见附件1）</w:t>
      </w:r>
      <w:r>
        <w:rPr>
          <w:rFonts w:hint="eastAsia"/>
          <w:color w:val="auto"/>
          <w:lang w:eastAsia="zh-CN"/>
        </w:rPr>
        <w:t>，</w:t>
      </w:r>
      <w:r>
        <w:rPr>
          <w:color w:val="auto"/>
        </w:rPr>
        <w:t>在接到任务后，我公司方案编制组在对项目前期工作进程和成果认真分析研究后，制定了详细的工作计划</w:t>
      </w:r>
      <w:r>
        <w:rPr>
          <w:rFonts w:hint="eastAsia"/>
          <w:color w:val="auto"/>
          <w:lang w:eastAsia="zh-CN"/>
        </w:rPr>
        <w:t>。</w:t>
      </w:r>
      <w:r>
        <w:rPr>
          <w:color w:val="auto"/>
        </w:rPr>
        <w:t>20</w:t>
      </w:r>
      <w:r>
        <w:rPr>
          <w:rFonts w:hint="eastAsia"/>
          <w:color w:val="auto"/>
          <w:lang w:val="en-US" w:eastAsia="zh-CN"/>
        </w:rPr>
        <w:t>24</w:t>
      </w:r>
      <w:r>
        <w:rPr>
          <w:color w:val="auto"/>
        </w:rPr>
        <w:t>年</w:t>
      </w:r>
      <w:r>
        <w:rPr>
          <w:rFonts w:hint="eastAsia"/>
          <w:color w:val="auto"/>
          <w:lang w:val="en-US" w:eastAsia="zh-CN"/>
        </w:rPr>
        <w:t>7</w:t>
      </w:r>
      <w:r>
        <w:rPr>
          <w:color w:val="auto"/>
        </w:rPr>
        <w:t>月我公司组织技术人员对工程现场进行了调查和实地踏勘，并广泛收集了相关资料，</w:t>
      </w:r>
      <w:r>
        <w:rPr>
          <w:rFonts w:hint="eastAsia"/>
          <w:color w:val="auto"/>
          <w:lang w:val="en-US" w:eastAsia="zh-CN"/>
        </w:rPr>
        <w:t>于2024年12月</w:t>
      </w:r>
      <w:r>
        <w:rPr>
          <w:rFonts w:hint="eastAsia"/>
          <w:color w:val="auto"/>
        </w:rPr>
        <w:t>编制完成《</w:t>
      </w:r>
      <w:r>
        <w:rPr>
          <w:rFonts w:hint="eastAsia"/>
          <w:color w:val="auto"/>
          <w:lang w:eastAsia="zh-CN"/>
        </w:rPr>
        <w:t>乙炔生产工厂和充装站一期项目</w:t>
      </w:r>
      <w:r>
        <w:rPr>
          <w:rFonts w:hint="eastAsia"/>
          <w:color w:val="auto"/>
        </w:rPr>
        <w:t>水土保持方案报告</w:t>
      </w:r>
      <w:r>
        <w:rPr>
          <w:rFonts w:hint="eastAsia"/>
          <w:color w:val="auto"/>
          <w:lang w:eastAsia="zh-CN"/>
        </w:rPr>
        <w:t>表</w:t>
      </w:r>
      <w:r>
        <w:rPr>
          <w:rFonts w:eastAsia="仿宋_GB2312"/>
          <w:color w:val="auto"/>
        </w:rPr>
        <w:t>（</w:t>
      </w:r>
      <w:r>
        <w:rPr>
          <w:rFonts w:hint="eastAsia"/>
          <w:color w:val="auto"/>
          <w:lang w:val="en-US" w:eastAsia="zh-CN"/>
        </w:rPr>
        <w:t>报批稿</w:t>
      </w:r>
      <w:r>
        <w:rPr>
          <w:rFonts w:eastAsia="仿宋_GB2312"/>
          <w:color w:val="auto"/>
        </w:rPr>
        <w:t>）》</w:t>
      </w:r>
      <w:r>
        <w:rPr>
          <w:rFonts w:hint="eastAsia" w:eastAsia="仿宋_GB2312"/>
          <w:color w:val="auto"/>
          <w:lang w:val="en-US" w:eastAsia="zh-CN"/>
        </w:rPr>
        <w:t>。</w:t>
      </w:r>
    </w:p>
    <w:p w14:paraId="29915F12">
      <w:pPr>
        <w:pStyle w:val="5"/>
        <w:numPr>
          <w:ilvl w:val="2"/>
          <w:numId w:val="1"/>
        </w:numPr>
        <w:bidi w:val="0"/>
        <w:rPr>
          <w:color w:val="auto"/>
        </w:rPr>
      </w:pPr>
      <w:r>
        <w:rPr>
          <w:rFonts w:hint="eastAsia"/>
          <w:color w:val="auto"/>
        </w:rPr>
        <w:t>自然简况</w:t>
      </w:r>
    </w:p>
    <w:p w14:paraId="4ABBF00B">
      <w:pPr>
        <w:rPr>
          <w:rFonts w:hint="eastAsia"/>
          <w:color w:val="0000FF"/>
          <w:lang w:eastAsia="zh-CN"/>
        </w:rPr>
      </w:pPr>
      <w:r>
        <w:rPr>
          <w:rFonts w:hint="eastAsia"/>
          <w:color w:val="auto"/>
          <w:lang w:val="en-US" w:eastAsia="zh-CN"/>
        </w:rPr>
        <w:t>本项目</w:t>
      </w:r>
      <w:r>
        <w:rPr>
          <w:rFonts w:hint="eastAsia"/>
          <w:color w:val="auto"/>
          <w:lang w:eastAsia="zh-CN"/>
        </w:rPr>
        <w:t>位于四川省雅安市永兴大道中段 699 号，位于四川巨宏新材料有限责任公司厂区范围内，拟在四川巨宏新材料有限责任公司厂区西北角进行建设项目，项目北侧为青江路，南侧为四川巨宏新材料有限责任公司，西侧为永兴大道，东侧为四川巨宏新材料有限责任公司水电解制氢装置、变配电间和充装单元。</w:t>
      </w:r>
    </w:p>
    <w:p w14:paraId="796F1321">
      <w:pPr>
        <w:bidi w:val="0"/>
        <w:rPr>
          <w:rFonts w:hint="eastAsia"/>
          <w:lang w:val="en-US" w:eastAsia="zh-CN"/>
        </w:rPr>
      </w:pPr>
      <w:r>
        <w:rPr>
          <w:rFonts w:hint="eastAsia"/>
          <w:lang w:val="en-US" w:eastAsia="zh-CN"/>
        </w:rPr>
        <w:t>雅安市水资源丰富，境内河流属长江流域岷江水系。市境内以大相岭为天然分水岭，形成北部的青衣江水系和南部的大渡河水系。</w:t>
      </w:r>
      <w:r>
        <w:t>项目区属亚热带湿润季风气候区。气温特点： 气候温和，雨量充沛，夏无酷暑，冬</w:t>
      </w:r>
      <w:r>
        <w:rPr>
          <w:rFonts w:ascii="仿宋" w:hAnsi="仿宋" w:eastAsia="仿宋" w:cs="仿宋"/>
          <w:spacing w:val="2"/>
        </w:rPr>
        <w:t>无严寒</w:t>
      </w:r>
      <w:r>
        <w:rPr>
          <w:rFonts w:ascii="仿宋" w:hAnsi="仿宋" w:eastAsia="仿宋" w:cs="仿宋"/>
          <w:spacing w:val="-6"/>
        </w:rPr>
        <w:t>。</w:t>
      </w:r>
    </w:p>
    <w:p w14:paraId="6593572D">
      <w:pPr>
        <w:bidi w:val="0"/>
        <w:rPr>
          <w:rFonts w:hint="eastAsia"/>
        </w:rPr>
      </w:pPr>
      <w:r>
        <w:rPr>
          <w:rFonts w:hint="eastAsia"/>
        </w:rPr>
        <w:t>雅安市土壤类型属亚热带气候红黄土壤带，垂直分布明显，土壤可归并为9 个土类， 13个亚类，29个土属，88个上种，162个变种。主要土壤类型有冲击性水稻土、紫 色土性水稻土、黄壤性水稻土、紫色土上、黄壤、石灰土项目区主要的土壤类型为灰色 冲积型水稻。水稻土由多种母质形成和各母质的上壤长期水耕熟化发育而成，分布广泛， 土层厚度为60~80cm，质地均匀，有机质及养分含量较高，土壤抗蚀性较强。</w:t>
      </w:r>
    </w:p>
    <w:p w14:paraId="1578D81E">
      <w:pPr>
        <w:bidi w:val="0"/>
        <w:rPr>
          <w:rFonts w:hint="eastAsia"/>
        </w:rPr>
      </w:pPr>
      <w:r>
        <w:rPr>
          <w:rFonts w:hint="eastAsia"/>
        </w:rPr>
        <w:t>工程区土壤类型以黄壤土为主，根据调查，工程开工建设前</w:t>
      </w:r>
      <w:r>
        <w:rPr>
          <w:rFonts w:hint="eastAsia"/>
          <w:lang w:val="en-US" w:eastAsia="zh-CN"/>
        </w:rPr>
        <w:t>已由政府统一进行场平，本项目内无可剥离表土，</w:t>
      </w:r>
      <w:r>
        <w:rPr>
          <w:rFonts w:hint="eastAsia"/>
        </w:rPr>
        <w:t>不具备表土剥离条件。</w:t>
      </w:r>
    </w:p>
    <w:p w14:paraId="044B2B2B">
      <w:pPr>
        <w:bidi w:val="0"/>
        <w:rPr>
          <w:color w:val="auto"/>
        </w:rPr>
      </w:pPr>
      <w:r>
        <w:rPr>
          <w:rFonts w:hint="eastAsia"/>
          <w:color w:val="auto"/>
        </w:rPr>
        <w:t>根据《中国地震动参数区划图》（GB18306-2015），地震设防烈度为 7 度，设计基 本地震加速度值为 0.10g，特征周期为 0.40s，设计地震分组为第二组。场地覆盖层厚度大于 3-50mm，建筑场地类别为Ⅱ类。</w:t>
      </w:r>
    </w:p>
    <w:p w14:paraId="55B8918A">
      <w:pPr>
        <w:bidi w:val="0"/>
        <w:rPr>
          <w:rFonts w:hint="eastAsia"/>
        </w:rPr>
      </w:pPr>
      <w:r>
        <w:rPr>
          <w:rFonts w:hint="eastAsia"/>
        </w:rPr>
        <w:t>项目区植被类型属亚热带常绿阔叶林，森林覆盖率48%。树种有松科、杉科、柏 科、银杏科等45个科。珍稀生物有古茶树、千年银杏、珙桐、千佛菌、兰花、白燕等10余种。根据调查，工程开工建设前原占地是新近填土，主要由粉土及黏性土等组成，项目 区林草覆盖率为0。</w:t>
      </w:r>
    </w:p>
    <w:p w14:paraId="3C151AE1">
      <w:pPr>
        <w:bidi w:val="0"/>
        <w:rPr>
          <w:rFonts w:hint="eastAsia"/>
          <w:color w:val="auto"/>
        </w:rPr>
      </w:pPr>
      <w:r>
        <w:rPr>
          <w:rFonts w:hint="eastAsia"/>
          <w:color w:val="auto"/>
        </w:rPr>
        <w:t>项目区属于西南土石山区，水土流失类型以水力侵蚀为主，容许土壤侵蚀量为 500t/km</w:t>
      </w:r>
      <w:r>
        <w:rPr>
          <w:rFonts w:hint="eastAsia"/>
          <w:color w:val="auto"/>
          <w:vertAlign w:val="superscript"/>
        </w:rPr>
        <w:t>2</w:t>
      </w:r>
      <w:r>
        <w:rPr>
          <w:rFonts w:hint="eastAsia"/>
          <w:color w:val="auto"/>
        </w:rPr>
        <w:t>.a。</w:t>
      </w:r>
    </w:p>
    <w:p w14:paraId="1899649A">
      <w:pPr>
        <w:pStyle w:val="3"/>
        <w:numPr>
          <w:ilvl w:val="1"/>
          <w:numId w:val="1"/>
        </w:numPr>
        <w:rPr>
          <w:color w:val="auto"/>
        </w:rPr>
      </w:pPr>
      <w:bookmarkStart w:id="54" w:name="_Toc22361"/>
      <w:r>
        <w:rPr>
          <w:rFonts w:hint="eastAsia"/>
          <w:color w:val="auto"/>
        </w:rPr>
        <w:t>编制依据</w:t>
      </w:r>
      <w:bookmarkEnd w:id="54"/>
    </w:p>
    <w:p w14:paraId="3AAFE824">
      <w:pPr>
        <w:pStyle w:val="5"/>
        <w:rPr>
          <w:color w:val="auto"/>
        </w:rPr>
      </w:pPr>
      <w:r>
        <w:rPr>
          <w:rFonts w:hint="eastAsia"/>
          <w:color w:val="auto"/>
        </w:rPr>
        <w:t>1.2.1法律法规</w:t>
      </w:r>
    </w:p>
    <w:p w14:paraId="34956D66">
      <w:pPr>
        <w:pStyle w:val="14"/>
        <w:numPr>
          <w:ilvl w:val="0"/>
          <w:numId w:val="3"/>
        </w:numPr>
        <w:ind w:left="0" w:firstLine="480"/>
        <w:rPr>
          <w:rFonts w:hint="eastAsia"/>
          <w:color w:val="auto"/>
        </w:rPr>
      </w:pPr>
      <w:r>
        <w:rPr>
          <w:rFonts w:hint="eastAsia"/>
          <w:color w:val="auto"/>
        </w:rPr>
        <w:t>《中华人民共和国水土保持法》（中华人民共和国主席令第39号，1991年6月29日通过，2010年12月修订，2011年3月1日起施行）；</w:t>
      </w:r>
    </w:p>
    <w:p w14:paraId="5CEDDC4F">
      <w:pPr>
        <w:pStyle w:val="14"/>
        <w:numPr>
          <w:ilvl w:val="0"/>
          <w:numId w:val="3"/>
        </w:numPr>
        <w:ind w:left="0" w:firstLine="480"/>
        <w:rPr>
          <w:rFonts w:hint="eastAsia"/>
          <w:color w:val="auto"/>
        </w:rPr>
      </w:pPr>
      <w:r>
        <w:rPr>
          <w:rFonts w:hint="eastAsia"/>
          <w:color w:val="auto"/>
        </w:rPr>
        <w:t>《四川省</w:t>
      </w:r>
      <w:r>
        <w:rPr>
          <w:rFonts w:hint="eastAsia"/>
          <w:color w:val="auto"/>
          <w:lang w:eastAsia="zh-CN"/>
        </w:rPr>
        <w:t>〈</w:t>
      </w:r>
      <w:r>
        <w:rPr>
          <w:rFonts w:hint="eastAsia"/>
          <w:color w:val="auto"/>
        </w:rPr>
        <w:t>中华人民共和国水土保持法</w:t>
      </w:r>
      <w:r>
        <w:rPr>
          <w:rFonts w:hint="eastAsia"/>
          <w:color w:val="auto"/>
          <w:lang w:eastAsia="zh-CN"/>
        </w:rPr>
        <w:t>〉</w:t>
      </w:r>
      <w:r>
        <w:rPr>
          <w:rFonts w:hint="eastAsia"/>
          <w:color w:val="auto"/>
        </w:rPr>
        <w:t>实施办法》（1993年12月15日颁布，1997年10月17日修改，2012年9月21日修订，2012年12月1日实施）。</w:t>
      </w:r>
    </w:p>
    <w:p w14:paraId="7F005AAD">
      <w:pPr>
        <w:pStyle w:val="14"/>
        <w:numPr>
          <w:ilvl w:val="0"/>
          <w:numId w:val="3"/>
        </w:numPr>
        <w:ind w:left="0" w:firstLine="480"/>
        <w:rPr>
          <w:rFonts w:hint="eastAsia"/>
          <w:color w:val="auto"/>
        </w:rPr>
      </w:pPr>
      <w:r>
        <w:rPr>
          <w:rFonts w:hint="eastAsia"/>
          <w:color w:val="auto"/>
        </w:rPr>
        <w:t>《中华人民共和国土地管理法》（中华人民共和国主席令第28号，1986年6月25日通过，1988年12月29日第一次修正，1998年8月29日修订，2004年8月28日第二次修正，自2004年8月28日起施行）；</w:t>
      </w:r>
    </w:p>
    <w:p w14:paraId="039F3FAA">
      <w:pPr>
        <w:pStyle w:val="14"/>
        <w:numPr>
          <w:ilvl w:val="0"/>
          <w:numId w:val="3"/>
        </w:numPr>
        <w:ind w:left="0" w:firstLine="480"/>
        <w:rPr>
          <w:rFonts w:hint="eastAsia"/>
          <w:color w:val="auto"/>
        </w:rPr>
      </w:pPr>
      <w:r>
        <w:rPr>
          <w:rFonts w:hint="eastAsia"/>
          <w:color w:val="auto"/>
        </w:rPr>
        <w:t>《中华人民共和国环境保护法》（中华人民共和国主席令第9号，2014年4月24日修订通过，自2015年1月1日起施行）。</w:t>
      </w:r>
    </w:p>
    <w:p w14:paraId="2770FA99">
      <w:pPr>
        <w:pStyle w:val="5"/>
        <w:bidi w:val="0"/>
        <w:rPr>
          <w:color w:val="auto"/>
        </w:rPr>
      </w:pPr>
      <w:bookmarkStart w:id="55" w:name="_Toc235255186"/>
      <w:bookmarkStart w:id="56" w:name="_Toc237622093"/>
      <w:r>
        <w:rPr>
          <w:color w:val="auto"/>
        </w:rPr>
        <w:t>1.2.</w:t>
      </w:r>
      <w:r>
        <w:rPr>
          <w:rFonts w:hint="eastAsia"/>
          <w:color w:val="auto"/>
        </w:rPr>
        <w:t>2</w:t>
      </w:r>
      <w:r>
        <w:rPr>
          <w:color w:val="auto"/>
        </w:rPr>
        <w:t>部委规章及规范性文件</w:t>
      </w:r>
    </w:p>
    <w:p w14:paraId="4DFC279F">
      <w:pPr>
        <w:rPr>
          <w:color w:val="auto"/>
        </w:rPr>
      </w:pPr>
      <w:r>
        <w:rPr>
          <w:rFonts w:hint="eastAsia"/>
          <w:color w:val="auto"/>
        </w:rPr>
        <w:t>1</w:t>
      </w:r>
      <w:r>
        <w:rPr>
          <w:color w:val="auto"/>
        </w:rPr>
        <w:t>、《生产建设项目水土保持方案管理办法》（2023年1月17日，水利部令第53号）；</w:t>
      </w:r>
    </w:p>
    <w:p w14:paraId="0C1E283E">
      <w:pPr>
        <w:rPr>
          <w:color w:val="auto"/>
        </w:rPr>
      </w:pPr>
      <w:r>
        <w:rPr>
          <w:rFonts w:hint="eastAsia"/>
          <w:color w:val="auto"/>
        </w:rPr>
        <w:t>2、四川省水利厅关于印发《四川省水土保持方案编制与审查若干技术问题暂行规定》的函（川水函〔2014〕1723号）；</w:t>
      </w:r>
    </w:p>
    <w:p w14:paraId="0356E7CE">
      <w:pPr>
        <w:rPr>
          <w:color w:val="auto"/>
        </w:rPr>
      </w:pPr>
      <w:r>
        <w:rPr>
          <w:rFonts w:hint="eastAsia"/>
          <w:color w:val="auto"/>
        </w:rPr>
        <w:t>3</w:t>
      </w:r>
      <w:r>
        <w:rPr>
          <w:color w:val="auto"/>
        </w:rPr>
        <w:t>、《水利部办公厅关于印发生产建设项目水土保持技术文件编写和印制格式规定（试行）的通知》（办水保〔2018〕135号）；</w:t>
      </w:r>
    </w:p>
    <w:p w14:paraId="23048B4F">
      <w:pPr>
        <w:rPr>
          <w:color w:val="auto"/>
        </w:rPr>
      </w:pPr>
      <w:r>
        <w:rPr>
          <w:rFonts w:hint="eastAsia"/>
          <w:color w:val="auto"/>
        </w:rPr>
        <w:t>4、《水利部关于进一步深化“放管服”改革全面加强水土保持监管的意见》（水利部，水保〔2019〕160号）；</w:t>
      </w:r>
    </w:p>
    <w:p w14:paraId="107D7531">
      <w:pPr>
        <w:rPr>
          <w:color w:val="auto"/>
        </w:rPr>
      </w:pPr>
      <w:r>
        <w:rPr>
          <w:rFonts w:hint="eastAsia"/>
          <w:color w:val="auto"/>
        </w:rPr>
        <w:t>5</w:t>
      </w:r>
      <w:r>
        <w:rPr>
          <w:color w:val="auto"/>
        </w:rPr>
        <w:t>、《水利部办公厅关于印发生产建设项目水土保持方案审查要点的通知》（办水保〔2023〕177号）。</w:t>
      </w:r>
    </w:p>
    <w:p w14:paraId="1E76C85E">
      <w:pPr>
        <w:pStyle w:val="5"/>
        <w:rPr>
          <w:color w:val="auto"/>
        </w:rPr>
      </w:pPr>
      <w:r>
        <w:rPr>
          <w:rFonts w:hint="eastAsia"/>
          <w:color w:val="auto"/>
        </w:rPr>
        <w:t>1</w:t>
      </w:r>
      <w:r>
        <w:rPr>
          <w:color w:val="auto"/>
        </w:rPr>
        <w:t>.2.</w:t>
      </w:r>
      <w:r>
        <w:rPr>
          <w:rFonts w:hint="eastAsia"/>
          <w:color w:val="auto"/>
          <w:lang w:val="en-US" w:eastAsia="zh-CN"/>
        </w:rPr>
        <w:t>3</w:t>
      </w:r>
      <w:r>
        <w:rPr>
          <w:color w:val="auto"/>
        </w:rPr>
        <w:t>规范标准</w:t>
      </w:r>
      <w:bookmarkEnd w:id="55"/>
      <w:bookmarkEnd w:id="56"/>
    </w:p>
    <w:p w14:paraId="0D296619">
      <w:pPr>
        <w:numPr>
          <w:ilvl w:val="0"/>
          <w:numId w:val="4"/>
        </w:numPr>
        <w:adjustRightInd w:val="0"/>
        <w:snapToGrid w:val="0"/>
        <w:ind w:firstLine="480" w:firstLineChars="0"/>
        <w:rPr>
          <w:color w:val="auto"/>
        </w:rPr>
      </w:pPr>
      <w:bookmarkStart w:id="57" w:name="_Toc235255187"/>
      <w:bookmarkStart w:id="58" w:name="_Toc237622094"/>
      <w:r>
        <w:rPr>
          <w:color w:val="auto"/>
        </w:rPr>
        <w:t>《生产建设项目水土保持技术标准》（GB 50433-2018）；</w:t>
      </w:r>
    </w:p>
    <w:p w14:paraId="2EFDE648">
      <w:pPr>
        <w:numPr>
          <w:ilvl w:val="0"/>
          <w:numId w:val="4"/>
        </w:numPr>
        <w:adjustRightInd w:val="0"/>
        <w:snapToGrid w:val="0"/>
        <w:ind w:firstLine="480" w:firstLineChars="0"/>
        <w:rPr>
          <w:color w:val="auto"/>
        </w:rPr>
      </w:pPr>
      <w:r>
        <w:rPr>
          <w:color w:val="auto"/>
        </w:rPr>
        <w:t>《生产建设项目水土流失防治标准》（GB</w:t>
      </w:r>
      <w:r>
        <w:rPr>
          <w:rFonts w:hint="eastAsia"/>
          <w:color w:val="auto"/>
        </w:rPr>
        <w:t>/T</w:t>
      </w:r>
      <w:r>
        <w:rPr>
          <w:color w:val="auto"/>
        </w:rPr>
        <w:t xml:space="preserve"> 50434-2018）；</w:t>
      </w:r>
    </w:p>
    <w:p w14:paraId="40E916E1">
      <w:pPr>
        <w:numPr>
          <w:ilvl w:val="0"/>
          <w:numId w:val="4"/>
        </w:numPr>
        <w:adjustRightInd w:val="0"/>
        <w:snapToGrid w:val="0"/>
        <w:ind w:firstLine="480" w:firstLineChars="0"/>
        <w:rPr>
          <w:color w:val="auto"/>
        </w:rPr>
      </w:pPr>
      <w:r>
        <w:rPr>
          <w:color w:val="auto"/>
        </w:rPr>
        <w:t>《水土保持工程设计规范》（GB 51018-2014）；</w:t>
      </w:r>
    </w:p>
    <w:p w14:paraId="3CBF2096">
      <w:pPr>
        <w:numPr>
          <w:ilvl w:val="0"/>
          <w:numId w:val="4"/>
        </w:numPr>
        <w:adjustRightInd w:val="0"/>
        <w:snapToGrid w:val="0"/>
        <w:ind w:firstLine="480" w:firstLineChars="0"/>
        <w:rPr>
          <w:color w:val="auto"/>
        </w:rPr>
      </w:pPr>
      <w:r>
        <w:rPr>
          <w:color w:val="auto"/>
        </w:rPr>
        <w:t>《土壤侵蚀分类分级标准》（SL 190-2007）；</w:t>
      </w:r>
    </w:p>
    <w:p w14:paraId="3C0CD6F9">
      <w:pPr>
        <w:numPr>
          <w:ilvl w:val="0"/>
          <w:numId w:val="4"/>
        </w:numPr>
        <w:adjustRightInd w:val="0"/>
        <w:snapToGrid w:val="0"/>
        <w:ind w:firstLine="480" w:firstLineChars="0"/>
        <w:rPr>
          <w:color w:val="auto"/>
        </w:rPr>
      </w:pPr>
      <w:r>
        <w:rPr>
          <w:color w:val="auto"/>
        </w:rPr>
        <w:t>《土地利用现状分类》（GB/T 21010-2017）；</w:t>
      </w:r>
    </w:p>
    <w:p w14:paraId="044FB179">
      <w:pPr>
        <w:numPr>
          <w:ilvl w:val="0"/>
          <w:numId w:val="4"/>
        </w:numPr>
        <w:adjustRightInd w:val="0"/>
        <w:snapToGrid w:val="0"/>
        <w:ind w:firstLine="480" w:firstLineChars="0"/>
        <w:rPr>
          <w:color w:val="auto"/>
        </w:rPr>
      </w:pPr>
      <w:r>
        <w:rPr>
          <w:color w:val="auto"/>
        </w:rPr>
        <w:t>《水利水电工程制图标准水土保持图》（SL 73.6-2015）；</w:t>
      </w:r>
    </w:p>
    <w:p w14:paraId="3022021E">
      <w:pPr>
        <w:numPr>
          <w:ilvl w:val="0"/>
          <w:numId w:val="4"/>
        </w:numPr>
        <w:adjustRightInd w:val="0"/>
        <w:snapToGrid w:val="0"/>
        <w:ind w:firstLine="480" w:firstLineChars="0"/>
        <w:rPr>
          <w:color w:val="auto"/>
        </w:rPr>
      </w:pPr>
      <w:r>
        <w:rPr>
          <w:color w:val="auto"/>
        </w:rPr>
        <w:t>《水土保持工程概（</w:t>
      </w:r>
      <w:r>
        <w:rPr>
          <w:rFonts w:hint="eastAsia"/>
          <w:color w:val="auto"/>
          <w:lang w:eastAsia="zh-CN"/>
        </w:rPr>
        <w:t>概算</w:t>
      </w:r>
      <w:r>
        <w:rPr>
          <w:color w:val="auto"/>
        </w:rPr>
        <w:t>）定额》（水利部，2003年1月）；</w:t>
      </w:r>
    </w:p>
    <w:p w14:paraId="4F6A82DB">
      <w:pPr>
        <w:numPr>
          <w:ilvl w:val="0"/>
          <w:numId w:val="4"/>
        </w:numPr>
        <w:adjustRightInd w:val="0"/>
        <w:snapToGrid w:val="0"/>
        <w:ind w:firstLine="480" w:firstLineChars="0"/>
        <w:rPr>
          <w:color w:val="auto"/>
        </w:rPr>
      </w:pPr>
      <w:r>
        <w:rPr>
          <w:color w:val="auto"/>
        </w:rPr>
        <w:t>《中国地震动参数区划图》（GB18306—20</w:t>
      </w:r>
      <w:r>
        <w:rPr>
          <w:rFonts w:hint="eastAsia"/>
          <w:color w:val="auto"/>
        </w:rPr>
        <w:t>15</w:t>
      </w:r>
      <w:r>
        <w:rPr>
          <w:color w:val="auto"/>
        </w:rPr>
        <w:t xml:space="preserve">  国家标准化管理委员会20</w:t>
      </w:r>
      <w:r>
        <w:rPr>
          <w:rFonts w:hint="eastAsia"/>
          <w:color w:val="auto"/>
        </w:rPr>
        <w:t>16</w:t>
      </w:r>
      <w:r>
        <w:rPr>
          <w:color w:val="auto"/>
        </w:rPr>
        <w:t>年6月</w:t>
      </w:r>
      <w:r>
        <w:rPr>
          <w:rFonts w:hint="eastAsia"/>
          <w:color w:val="auto"/>
        </w:rPr>
        <w:t>1</w:t>
      </w:r>
      <w:r>
        <w:rPr>
          <w:color w:val="auto"/>
        </w:rPr>
        <w:t>日实施）；</w:t>
      </w:r>
    </w:p>
    <w:p w14:paraId="2598DAAE">
      <w:pPr>
        <w:numPr>
          <w:ilvl w:val="0"/>
          <w:numId w:val="4"/>
        </w:numPr>
        <w:adjustRightInd w:val="0"/>
        <w:snapToGrid w:val="0"/>
        <w:ind w:firstLine="480" w:firstLineChars="0"/>
        <w:rPr>
          <w:color w:val="auto"/>
        </w:rPr>
      </w:pPr>
      <w:r>
        <w:rPr>
          <w:rFonts w:hint="eastAsia"/>
          <w:color w:val="auto"/>
          <w:lang w:val="en-US" w:eastAsia="zh-CN"/>
        </w:rPr>
        <w:t>《</w:t>
      </w:r>
      <w:r>
        <w:rPr>
          <w:rFonts w:hint="eastAsia"/>
          <w:color w:val="auto"/>
        </w:rPr>
        <w:t>水土保持工程调查与勘测标准</w:t>
      </w:r>
      <w:r>
        <w:rPr>
          <w:rFonts w:hint="eastAsia"/>
          <w:color w:val="auto"/>
          <w:lang w:val="en-US" w:eastAsia="zh-CN"/>
        </w:rPr>
        <w:t>》（</w:t>
      </w:r>
      <w:r>
        <w:rPr>
          <w:rFonts w:hint="eastAsia"/>
          <w:color w:val="auto"/>
        </w:rPr>
        <w:t>GB/T 51297-2018</w:t>
      </w:r>
      <w:r>
        <w:rPr>
          <w:rFonts w:hint="eastAsia"/>
          <w:color w:val="auto"/>
          <w:lang w:val="en-US" w:eastAsia="zh-CN"/>
        </w:rPr>
        <w:t>）</w:t>
      </w:r>
      <w:r>
        <w:rPr>
          <w:color w:val="auto"/>
        </w:rPr>
        <w:t>；</w:t>
      </w:r>
    </w:p>
    <w:p w14:paraId="18A82E45">
      <w:pPr>
        <w:numPr>
          <w:ilvl w:val="0"/>
          <w:numId w:val="4"/>
        </w:numPr>
        <w:adjustRightInd w:val="0"/>
        <w:snapToGrid w:val="0"/>
        <w:ind w:firstLine="480" w:firstLineChars="0"/>
        <w:rPr>
          <w:color w:val="auto"/>
        </w:rPr>
      </w:pPr>
      <w:r>
        <w:rPr>
          <w:rFonts w:hint="eastAsia"/>
          <w:color w:val="auto"/>
        </w:rPr>
        <w:t>《生产建设项目水土保持监测与评价标准》（GB/T51240-2018）</w:t>
      </w:r>
      <w:r>
        <w:rPr>
          <w:rFonts w:hint="eastAsia"/>
          <w:color w:val="auto"/>
          <w:lang w:eastAsia="zh-CN"/>
        </w:rPr>
        <w:t>。</w:t>
      </w:r>
    </w:p>
    <w:bookmarkEnd w:id="57"/>
    <w:bookmarkEnd w:id="58"/>
    <w:p w14:paraId="57B983CF">
      <w:pPr>
        <w:pStyle w:val="5"/>
        <w:rPr>
          <w:color w:val="auto"/>
        </w:rPr>
      </w:pPr>
      <w:r>
        <w:rPr>
          <w:rFonts w:hint="eastAsia"/>
          <w:color w:val="auto"/>
        </w:rPr>
        <w:t>1</w:t>
      </w:r>
      <w:r>
        <w:rPr>
          <w:color w:val="auto"/>
        </w:rPr>
        <w:t>.2.</w:t>
      </w:r>
      <w:r>
        <w:rPr>
          <w:rFonts w:hint="eastAsia"/>
          <w:color w:val="auto"/>
          <w:lang w:val="en-US" w:eastAsia="zh-CN"/>
        </w:rPr>
        <w:t>4</w:t>
      </w:r>
      <w:r>
        <w:rPr>
          <w:color w:val="auto"/>
        </w:rPr>
        <w:t>技术文件及资料</w:t>
      </w:r>
    </w:p>
    <w:p w14:paraId="456F41F1">
      <w:pPr>
        <w:keepNext w:val="0"/>
        <w:keepLines w:val="0"/>
        <w:pageBreakBefore w:val="0"/>
        <w:widowControl w:val="0"/>
        <w:numPr>
          <w:ilvl w:val="0"/>
          <w:numId w:val="5"/>
        </w:numPr>
        <w:kinsoku/>
        <w:wordWrap/>
        <w:overflowPunct/>
        <w:topLinePunct w:val="0"/>
        <w:autoSpaceDE/>
        <w:autoSpaceDN/>
        <w:bidi w:val="0"/>
        <w:adjustRightInd/>
        <w:snapToGrid/>
        <w:ind w:left="0" w:leftChars="0" w:firstLine="480" w:firstLineChars="200"/>
        <w:textAlignment w:val="auto"/>
        <w:rPr>
          <w:color w:val="auto"/>
        </w:rPr>
      </w:pPr>
      <w:r>
        <w:rPr>
          <w:rFonts w:hint="eastAsia"/>
          <w:color w:val="auto"/>
          <w:lang w:eastAsia="zh-CN"/>
        </w:rPr>
        <w:t>《乙炔生产工厂和充装站一期项目</w:t>
      </w:r>
      <w:r>
        <w:rPr>
          <w:rFonts w:hint="eastAsia"/>
          <w:color w:val="auto"/>
          <w:lang w:val="en-US" w:eastAsia="zh-CN"/>
        </w:rPr>
        <w:t>施工图设计</w:t>
      </w:r>
      <w:r>
        <w:rPr>
          <w:rFonts w:hint="eastAsia"/>
          <w:color w:val="auto"/>
        </w:rPr>
        <w:t>》</w:t>
      </w:r>
      <w:r>
        <w:rPr>
          <w:rFonts w:hint="eastAsia"/>
          <w:color w:val="auto"/>
          <w:lang w:eastAsia="zh-CN"/>
        </w:rPr>
        <w:t>（</w:t>
      </w:r>
      <w:r>
        <w:rPr>
          <w:rFonts w:hint="eastAsia"/>
          <w:color w:val="auto"/>
          <w:lang w:val="en-US" w:eastAsia="zh-CN"/>
        </w:rPr>
        <w:t>山东齐创石化工程有限公司，2024.5</w:t>
      </w:r>
      <w:r>
        <w:rPr>
          <w:rFonts w:hint="eastAsia"/>
          <w:color w:val="auto"/>
          <w:lang w:eastAsia="zh-CN"/>
        </w:rPr>
        <w:t>）</w:t>
      </w:r>
      <w:r>
        <w:rPr>
          <w:rFonts w:hint="eastAsia"/>
          <w:color w:val="auto"/>
        </w:rPr>
        <w:t>；</w:t>
      </w:r>
    </w:p>
    <w:p w14:paraId="327638DD">
      <w:pPr>
        <w:keepNext w:val="0"/>
        <w:keepLines w:val="0"/>
        <w:pageBreakBefore w:val="0"/>
        <w:widowControl w:val="0"/>
        <w:numPr>
          <w:ilvl w:val="0"/>
          <w:numId w:val="5"/>
        </w:numPr>
        <w:kinsoku/>
        <w:wordWrap/>
        <w:overflowPunct/>
        <w:topLinePunct w:val="0"/>
        <w:autoSpaceDE/>
        <w:autoSpaceDN/>
        <w:bidi w:val="0"/>
        <w:adjustRightInd/>
        <w:snapToGrid/>
        <w:ind w:left="0" w:leftChars="0" w:firstLine="480" w:firstLineChars="200"/>
        <w:textAlignment w:val="auto"/>
        <w:rPr>
          <w:color w:val="auto"/>
        </w:rPr>
      </w:pPr>
      <w:r>
        <w:rPr>
          <w:rFonts w:hint="eastAsia"/>
          <w:color w:val="auto"/>
        </w:rPr>
        <w:t>《</w:t>
      </w:r>
      <w:r>
        <w:rPr>
          <w:rFonts w:hint="eastAsia"/>
          <w:color w:val="auto"/>
          <w:lang w:eastAsia="zh-CN"/>
        </w:rPr>
        <w:t>雅安市</w:t>
      </w:r>
      <w:r>
        <w:rPr>
          <w:rFonts w:hint="eastAsia"/>
          <w:color w:val="auto"/>
        </w:rPr>
        <w:t>水土保持规划（2015-2030 年）》</w:t>
      </w:r>
      <w:r>
        <w:rPr>
          <w:color w:val="auto"/>
        </w:rPr>
        <w:t>；</w:t>
      </w:r>
    </w:p>
    <w:p w14:paraId="53069F9B">
      <w:pPr>
        <w:keepNext w:val="0"/>
        <w:keepLines w:val="0"/>
        <w:pageBreakBefore w:val="0"/>
        <w:widowControl w:val="0"/>
        <w:numPr>
          <w:ilvl w:val="0"/>
          <w:numId w:val="5"/>
        </w:numPr>
        <w:kinsoku/>
        <w:wordWrap/>
        <w:overflowPunct/>
        <w:topLinePunct w:val="0"/>
        <w:autoSpaceDE/>
        <w:autoSpaceDN/>
        <w:bidi w:val="0"/>
        <w:adjustRightInd/>
        <w:snapToGrid/>
        <w:ind w:left="0" w:leftChars="0" w:firstLine="480" w:firstLineChars="200"/>
        <w:textAlignment w:val="auto"/>
        <w:rPr>
          <w:color w:val="auto"/>
        </w:rPr>
      </w:pPr>
      <w:r>
        <w:rPr>
          <w:rFonts w:hint="eastAsia"/>
          <w:color w:val="auto"/>
          <w:lang w:eastAsia="zh-CN"/>
        </w:rPr>
        <w:t>其他相关</w:t>
      </w:r>
      <w:r>
        <w:rPr>
          <w:color w:val="auto"/>
        </w:rPr>
        <w:t>技术资料。</w:t>
      </w:r>
    </w:p>
    <w:p w14:paraId="71624FE9">
      <w:pPr>
        <w:pStyle w:val="3"/>
        <w:numPr>
          <w:ilvl w:val="1"/>
          <w:numId w:val="1"/>
        </w:numPr>
        <w:rPr>
          <w:color w:val="auto"/>
        </w:rPr>
      </w:pPr>
      <w:bookmarkStart w:id="59" w:name="_Toc4934"/>
      <w:r>
        <w:rPr>
          <w:rFonts w:hint="eastAsia"/>
          <w:color w:val="auto"/>
        </w:rPr>
        <w:t>设计水平年</w:t>
      </w:r>
      <w:bookmarkEnd w:id="59"/>
    </w:p>
    <w:p w14:paraId="19A85499">
      <w:pPr>
        <w:pStyle w:val="14"/>
        <w:ind w:firstLine="480"/>
        <w:rPr>
          <w:color w:val="auto"/>
        </w:rPr>
      </w:pPr>
      <w:r>
        <w:rPr>
          <w:color w:val="auto"/>
        </w:rPr>
        <w:t>根据《</w:t>
      </w:r>
      <w:r>
        <w:rPr>
          <w:rFonts w:hint="eastAsia"/>
          <w:color w:val="auto"/>
        </w:rPr>
        <w:t>生产</w:t>
      </w:r>
      <w:r>
        <w:rPr>
          <w:color w:val="auto"/>
        </w:rPr>
        <w:t>建设项目水土保持技术</w:t>
      </w:r>
      <w:r>
        <w:rPr>
          <w:rFonts w:hint="eastAsia"/>
          <w:color w:val="auto"/>
        </w:rPr>
        <w:t>标准</w:t>
      </w:r>
      <w:r>
        <w:rPr>
          <w:color w:val="auto"/>
        </w:rPr>
        <w:t>》(GB50433-20</w:t>
      </w:r>
      <w:r>
        <w:rPr>
          <w:rFonts w:hint="eastAsia"/>
          <w:color w:val="auto"/>
        </w:rPr>
        <w:t>18</w:t>
      </w:r>
      <w:r>
        <w:rPr>
          <w:color w:val="auto"/>
        </w:rPr>
        <w:t>)，设计水平年</w:t>
      </w:r>
      <w:r>
        <w:rPr>
          <w:rFonts w:hint="eastAsia"/>
          <w:color w:val="auto"/>
        </w:rPr>
        <w:t>应</w:t>
      </w:r>
      <w:r>
        <w:rPr>
          <w:color w:val="auto"/>
        </w:rPr>
        <w:t>为主体工程完工后的当年或后一年，</w:t>
      </w:r>
      <w:r>
        <w:rPr>
          <w:rFonts w:hint="eastAsia"/>
          <w:color w:val="auto"/>
        </w:rPr>
        <w:t>本工程</w:t>
      </w:r>
      <w:r>
        <w:rPr>
          <w:rFonts w:hint="eastAsia"/>
          <w:color w:val="auto"/>
          <w:lang w:val="en-US" w:eastAsia="zh-CN"/>
        </w:rPr>
        <w:t>预计于2025</w:t>
      </w:r>
      <w:r>
        <w:rPr>
          <w:rFonts w:hint="eastAsia"/>
          <w:color w:val="auto"/>
        </w:rPr>
        <w:t>年</w:t>
      </w:r>
      <w:r>
        <w:rPr>
          <w:rFonts w:hint="eastAsia"/>
          <w:color w:val="auto"/>
          <w:lang w:val="en-US" w:eastAsia="zh-CN"/>
        </w:rPr>
        <w:t>1</w:t>
      </w:r>
      <w:r>
        <w:rPr>
          <w:rFonts w:hint="eastAsia"/>
          <w:color w:val="auto"/>
        </w:rPr>
        <w:t>月开工，</w:t>
      </w:r>
      <w:r>
        <w:rPr>
          <w:rFonts w:hint="eastAsia"/>
          <w:color w:val="auto"/>
          <w:lang w:val="en-US" w:eastAsia="zh-CN"/>
        </w:rPr>
        <w:t>预计</w:t>
      </w:r>
      <w:r>
        <w:rPr>
          <w:rFonts w:hint="eastAsia"/>
          <w:color w:val="auto"/>
        </w:rPr>
        <w:t>20</w:t>
      </w:r>
      <w:r>
        <w:rPr>
          <w:rFonts w:hint="eastAsia"/>
          <w:color w:val="auto"/>
          <w:lang w:val="en-US" w:eastAsia="zh-CN"/>
        </w:rPr>
        <w:t>25</w:t>
      </w:r>
      <w:r>
        <w:rPr>
          <w:rFonts w:hint="eastAsia"/>
          <w:color w:val="auto"/>
        </w:rPr>
        <w:t>年</w:t>
      </w:r>
      <w:r>
        <w:rPr>
          <w:rFonts w:hint="eastAsia"/>
          <w:color w:val="auto"/>
          <w:lang w:val="en-US" w:eastAsia="zh-CN"/>
        </w:rPr>
        <w:t>6</w:t>
      </w:r>
      <w:r>
        <w:rPr>
          <w:rFonts w:hint="eastAsia"/>
          <w:color w:val="auto"/>
        </w:rPr>
        <w:t>月完工</w:t>
      </w:r>
      <w:r>
        <w:rPr>
          <w:rFonts w:hint="eastAsia"/>
          <w:color w:val="auto"/>
          <w:lang w:eastAsia="zh-CN"/>
        </w:rPr>
        <w:t>，</w:t>
      </w:r>
      <w:r>
        <w:rPr>
          <w:rFonts w:hint="eastAsia"/>
          <w:color w:val="auto"/>
        </w:rPr>
        <w:t>确定</w:t>
      </w:r>
      <w:r>
        <w:rPr>
          <w:color w:val="auto"/>
        </w:rPr>
        <w:t>本方案设计水平年</w:t>
      </w:r>
      <w:r>
        <w:rPr>
          <w:rFonts w:hint="eastAsia"/>
          <w:color w:val="auto"/>
        </w:rPr>
        <w:t>为</w:t>
      </w:r>
      <w:r>
        <w:rPr>
          <w:rFonts w:hint="eastAsia"/>
          <w:color w:val="auto"/>
          <w:lang w:val="en-US" w:eastAsia="zh-CN"/>
        </w:rPr>
        <w:t>主体工程完工后当年</w:t>
      </w:r>
      <w:r>
        <w:rPr>
          <w:rFonts w:hint="eastAsia"/>
          <w:color w:val="auto"/>
          <w:lang w:eastAsia="zh-CN"/>
        </w:rPr>
        <w:t>，即</w:t>
      </w:r>
      <w:r>
        <w:rPr>
          <w:rFonts w:hint="eastAsia"/>
          <w:color w:val="auto"/>
          <w:lang w:val="en-US" w:eastAsia="zh-CN"/>
        </w:rPr>
        <w:t>2025</w:t>
      </w:r>
      <w:r>
        <w:rPr>
          <w:color w:val="auto"/>
        </w:rPr>
        <w:t>年。</w:t>
      </w:r>
    </w:p>
    <w:p w14:paraId="58222900">
      <w:pPr>
        <w:pStyle w:val="3"/>
        <w:numPr>
          <w:ilvl w:val="1"/>
          <w:numId w:val="1"/>
        </w:numPr>
        <w:rPr>
          <w:color w:val="auto"/>
        </w:rPr>
      </w:pPr>
      <w:bookmarkStart w:id="60" w:name="_Toc22798"/>
      <w:r>
        <w:rPr>
          <w:rFonts w:hint="eastAsia"/>
          <w:color w:val="auto"/>
        </w:rPr>
        <w:t>水土流失防治责任范围</w:t>
      </w:r>
      <w:bookmarkEnd w:id="60"/>
    </w:p>
    <w:p w14:paraId="143CC873">
      <w:pPr>
        <w:pStyle w:val="14"/>
        <w:ind w:firstLine="480"/>
        <w:rPr>
          <w:rFonts w:hint="eastAsia"/>
          <w:color w:val="auto"/>
        </w:rPr>
      </w:pPr>
      <w:r>
        <w:rPr>
          <w:rFonts w:hint="eastAsia"/>
          <w:color w:val="auto"/>
        </w:rPr>
        <w:t>根据《生产建设项目水土保持技术标准》（GB 50433-2018）水土流失防治责任范围包括工程建设区项目永久征地、永久占地和其他使用与管辖区域。本项目</w:t>
      </w:r>
      <w:r>
        <w:rPr>
          <w:rFonts w:hint="eastAsia"/>
          <w:color w:val="auto"/>
          <w:lang w:val="en-US" w:eastAsia="zh-CN"/>
        </w:rPr>
        <w:t>永久</w:t>
      </w:r>
      <w:r>
        <w:rPr>
          <w:rFonts w:hint="eastAsia"/>
          <w:color w:val="auto"/>
        </w:rPr>
        <w:t>占地</w:t>
      </w:r>
      <w:r>
        <w:rPr>
          <w:rFonts w:hint="eastAsia"/>
          <w:color w:val="auto"/>
          <w:lang w:val="en-US" w:eastAsia="zh-CN"/>
        </w:rPr>
        <w:t>3.66</w:t>
      </w:r>
      <w:r>
        <w:rPr>
          <w:rFonts w:hint="eastAsia"/>
          <w:color w:val="auto"/>
        </w:rPr>
        <w:t>m</w:t>
      </w:r>
      <w:r>
        <w:rPr>
          <w:rFonts w:hint="eastAsia"/>
          <w:color w:val="auto"/>
          <w:vertAlign w:val="superscript"/>
        </w:rPr>
        <w:t>2</w:t>
      </w:r>
      <w:r>
        <w:rPr>
          <w:rFonts w:hint="eastAsia"/>
          <w:color w:val="auto"/>
        </w:rPr>
        <w:t>，</w:t>
      </w:r>
      <w:r>
        <w:rPr>
          <w:rFonts w:hint="eastAsia"/>
          <w:color w:val="auto"/>
          <w:lang w:val="en-US" w:eastAsia="zh-CN"/>
        </w:rPr>
        <w:t>无临时占地。</w:t>
      </w:r>
      <w:r>
        <w:rPr>
          <w:rFonts w:hint="eastAsia"/>
          <w:color w:val="auto"/>
        </w:rPr>
        <w:t>则</w:t>
      </w:r>
      <w:r>
        <w:rPr>
          <w:rFonts w:hint="eastAsia"/>
          <w:color w:val="auto"/>
          <w:lang w:val="en-US" w:eastAsia="zh-CN"/>
        </w:rPr>
        <w:t>本项目</w:t>
      </w:r>
      <w:r>
        <w:rPr>
          <w:rFonts w:hint="eastAsia"/>
          <w:color w:val="auto"/>
        </w:rPr>
        <w:t>水土流失防治责任范围为</w:t>
      </w:r>
      <w:r>
        <w:rPr>
          <w:rFonts w:hint="eastAsia"/>
          <w:color w:val="auto"/>
          <w:lang w:val="en-US" w:eastAsia="zh-CN"/>
        </w:rPr>
        <w:t>3.66</w:t>
      </w:r>
      <w:r>
        <w:rPr>
          <w:rFonts w:hint="eastAsia"/>
          <w:color w:val="auto"/>
        </w:rPr>
        <w:t>hm</w:t>
      </w:r>
      <w:r>
        <w:rPr>
          <w:rFonts w:hint="eastAsia"/>
          <w:color w:val="auto"/>
          <w:vertAlign w:val="superscript"/>
        </w:rPr>
        <w:t>2</w:t>
      </w:r>
      <w:r>
        <w:rPr>
          <w:rFonts w:hint="eastAsia"/>
          <w:color w:val="auto"/>
        </w:rPr>
        <w:t>。</w:t>
      </w:r>
    </w:p>
    <w:p w14:paraId="375E7EB9">
      <w:pPr>
        <w:pStyle w:val="35"/>
        <w:bidi w:val="0"/>
        <w:rPr>
          <w:rFonts w:hint="eastAsia"/>
          <w:color w:val="auto"/>
        </w:rPr>
      </w:pPr>
      <w:r>
        <w:rPr>
          <w:color w:val="auto"/>
        </w:rPr>
        <w:t>表</w:t>
      </w:r>
      <w:r>
        <w:rPr>
          <w:rFonts w:hint="eastAsia"/>
          <w:color w:val="auto"/>
          <w:lang w:val="en-US" w:eastAsia="zh-CN"/>
        </w:rPr>
        <w:t>1.4-1</w:t>
      </w:r>
      <w:r>
        <w:rPr>
          <w:rFonts w:hint="eastAsia"/>
          <w:color w:val="auto"/>
        </w:rPr>
        <w:t xml:space="preserve"> </w:t>
      </w:r>
      <w:r>
        <w:rPr>
          <w:color w:val="auto"/>
        </w:rPr>
        <w:t>水土流失防治</w:t>
      </w:r>
      <w:r>
        <w:rPr>
          <w:rFonts w:hint="eastAsia"/>
          <w:color w:val="auto"/>
          <w:lang w:val="en-US" w:eastAsia="zh-CN"/>
        </w:rPr>
        <w:t>责任范围</w:t>
      </w:r>
      <w:r>
        <w:rPr>
          <w:color w:val="auto"/>
        </w:rPr>
        <w:t>表</w:t>
      </w:r>
    </w:p>
    <w:tbl>
      <w:tblPr>
        <w:tblStyle w:val="25"/>
        <w:tblpPr w:leftFromText="180" w:rightFromText="180" w:vertAnchor="text" w:horzAnchor="page" w:tblpX="1437" w:tblpY="310"/>
        <w:tblOverlap w:val="never"/>
        <w:tblW w:w="9101" w:type="dxa"/>
        <w:tblInd w:w="0" w:type="dxa"/>
        <w:tblLayout w:type="fixed"/>
        <w:tblCellMar>
          <w:top w:w="0" w:type="dxa"/>
          <w:left w:w="0" w:type="dxa"/>
          <w:bottom w:w="0" w:type="dxa"/>
          <w:right w:w="0" w:type="dxa"/>
        </w:tblCellMar>
      </w:tblPr>
      <w:tblGrid>
        <w:gridCol w:w="1618"/>
        <w:gridCol w:w="2956"/>
        <w:gridCol w:w="4527"/>
      </w:tblGrid>
      <w:tr w14:paraId="2587E3ED">
        <w:tblPrEx>
          <w:tblCellMar>
            <w:top w:w="0" w:type="dxa"/>
            <w:left w:w="0" w:type="dxa"/>
            <w:bottom w:w="0" w:type="dxa"/>
            <w:right w:w="0" w:type="dxa"/>
          </w:tblCellMar>
        </w:tblPrEx>
        <w:trPr>
          <w:trHeight w:val="340" w:hRule="atLeast"/>
        </w:trPr>
        <w:tc>
          <w:tcPr>
            <w:tcW w:w="16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19761A5">
            <w:pPr>
              <w:pStyle w:val="34"/>
              <w:bidi w:val="0"/>
              <w:rPr>
                <w:rFonts w:hint="eastAsia"/>
                <w:color w:val="auto"/>
                <w:lang w:eastAsia="zh-CN"/>
              </w:rPr>
            </w:pPr>
            <w:r>
              <w:rPr>
                <w:rFonts w:hint="eastAsia"/>
                <w:color w:val="auto"/>
                <w:lang w:val="en-US" w:eastAsia="zh-CN"/>
              </w:rPr>
              <w:t>序号</w:t>
            </w:r>
          </w:p>
        </w:tc>
        <w:tc>
          <w:tcPr>
            <w:tcW w:w="2956"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B48DD68">
            <w:pPr>
              <w:pStyle w:val="34"/>
              <w:bidi w:val="0"/>
              <w:rPr>
                <w:rFonts w:hint="eastAsia"/>
                <w:color w:val="auto"/>
                <w:lang w:val="en-US" w:eastAsia="zh-CN"/>
              </w:rPr>
            </w:pPr>
            <w:r>
              <w:rPr>
                <w:rFonts w:hint="eastAsia"/>
                <w:color w:val="auto"/>
                <w:lang w:val="en-US" w:eastAsia="zh-CN"/>
              </w:rPr>
              <w:t>防治分区</w:t>
            </w:r>
          </w:p>
        </w:tc>
        <w:tc>
          <w:tcPr>
            <w:tcW w:w="452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E4E3EEA">
            <w:pPr>
              <w:pStyle w:val="34"/>
              <w:bidi w:val="0"/>
              <w:rPr>
                <w:rFonts w:hint="default"/>
                <w:color w:val="auto"/>
                <w:lang w:val="en-US" w:eastAsia="zh-CN"/>
              </w:rPr>
            </w:pPr>
            <w:r>
              <w:rPr>
                <w:rFonts w:hint="eastAsia"/>
                <w:color w:val="auto"/>
                <w:lang w:val="en-US" w:eastAsia="zh-CN"/>
              </w:rPr>
              <w:t>防治责任范围面积（</w:t>
            </w:r>
            <w:r>
              <w:rPr>
                <w:rFonts w:hint="default"/>
                <w:color w:val="auto"/>
                <w:lang w:val="en-US" w:eastAsia="zh-CN"/>
              </w:rPr>
              <w:t>hm</w:t>
            </w:r>
            <w:r>
              <w:rPr>
                <w:rFonts w:hint="default"/>
                <w:color w:val="auto"/>
                <w:vertAlign w:val="superscript"/>
                <w:lang w:val="en-US" w:eastAsia="zh-CN"/>
              </w:rPr>
              <w:t>2</w:t>
            </w:r>
            <w:r>
              <w:rPr>
                <w:rFonts w:hint="eastAsia"/>
                <w:color w:val="auto"/>
                <w:lang w:val="en-US" w:eastAsia="zh-CN"/>
              </w:rPr>
              <w:t>）</w:t>
            </w:r>
          </w:p>
        </w:tc>
      </w:tr>
      <w:tr w14:paraId="5FE84688">
        <w:tblPrEx>
          <w:tblCellMar>
            <w:top w:w="0" w:type="dxa"/>
            <w:left w:w="0" w:type="dxa"/>
            <w:bottom w:w="0" w:type="dxa"/>
            <w:right w:w="0" w:type="dxa"/>
          </w:tblCellMar>
        </w:tblPrEx>
        <w:trPr>
          <w:trHeight w:val="340" w:hRule="atLeast"/>
        </w:trPr>
        <w:tc>
          <w:tcPr>
            <w:tcW w:w="16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4682BF">
            <w:pPr>
              <w:pStyle w:val="34"/>
              <w:bidi w:val="0"/>
              <w:rPr>
                <w:rFonts w:hint="default"/>
                <w:color w:val="auto"/>
                <w:lang w:val="en-US" w:eastAsia="zh-CN"/>
              </w:rPr>
            </w:pPr>
            <w:r>
              <w:rPr>
                <w:rFonts w:hint="default"/>
                <w:color w:val="auto"/>
                <w:lang w:val="en-US" w:eastAsia="zh-CN"/>
              </w:rPr>
              <w:t>1</w:t>
            </w:r>
          </w:p>
        </w:tc>
        <w:tc>
          <w:tcPr>
            <w:tcW w:w="295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F399AE">
            <w:pPr>
              <w:pStyle w:val="34"/>
              <w:bidi w:val="0"/>
              <w:rPr>
                <w:rFonts w:hint="eastAsia"/>
                <w:color w:val="auto"/>
                <w:lang w:val="en-US" w:eastAsia="zh-CN"/>
              </w:rPr>
            </w:pPr>
            <w:r>
              <w:rPr>
                <w:rFonts w:hint="eastAsia"/>
                <w:color w:val="auto"/>
                <w:lang w:val="en-US" w:eastAsia="zh-CN"/>
              </w:rPr>
              <w:t>建构筑物区</w:t>
            </w:r>
          </w:p>
        </w:tc>
        <w:tc>
          <w:tcPr>
            <w:tcW w:w="45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1B2DE2">
            <w:pPr>
              <w:pStyle w:val="34"/>
              <w:bidi w:val="0"/>
              <w:rPr>
                <w:rFonts w:hint="default"/>
                <w:color w:val="auto"/>
                <w:lang w:val="en-US" w:eastAsia="zh-CN"/>
              </w:rPr>
            </w:pPr>
            <w:r>
              <w:rPr>
                <w:rFonts w:hint="eastAsia"/>
                <w:color w:val="auto"/>
                <w:lang w:val="en-US" w:eastAsia="zh-CN"/>
              </w:rPr>
              <w:t>1.55</w:t>
            </w:r>
          </w:p>
        </w:tc>
      </w:tr>
      <w:tr w14:paraId="79A4C38A">
        <w:tblPrEx>
          <w:tblCellMar>
            <w:top w:w="0" w:type="dxa"/>
            <w:left w:w="0" w:type="dxa"/>
            <w:bottom w:w="0" w:type="dxa"/>
            <w:right w:w="0" w:type="dxa"/>
          </w:tblCellMar>
        </w:tblPrEx>
        <w:trPr>
          <w:trHeight w:val="340" w:hRule="atLeast"/>
        </w:trPr>
        <w:tc>
          <w:tcPr>
            <w:tcW w:w="16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6C7709">
            <w:pPr>
              <w:pStyle w:val="34"/>
              <w:bidi w:val="0"/>
              <w:rPr>
                <w:rFonts w:hint="eastAsia"/>
                <w:color w:val="auto"/>
                <w:lang w:val="en-US" w:eastAsia="zh-CN"/>
              </w:rPr>
            </w:pPr>
            <w:r>
              <w:rPr>
                <w:rFonts w:hint="default"/>
                <w:color w:val="auto"/>
                <w:lang w:val="en-US" w:eastAsia="zh-CN"/>
              </w:rPr>
              <w:t>2</w:t>
            </w:r>
          </w:p>
        </w:tc>
        <w:tc>
          <w:tcPr>
            <w:tcW w:w="295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B902BA">
            <w:pPr>
              <w:pStyle w:val="34"/>
              <w:bidi w:val="0"/>
              <w:rPr>
                <w:rFonts w:hint="eastAsia"/>
                <w:color w:val="auto"/>
                <w:lang w:val="en-US" w:eastAsia="zh-CN"/>
              </w:rPr>
            </w:pPr>
            <w:r>
              <w:rPr>
                <w:rFonts w:hint="eastAsia"/>
                <w:color w:val="auto"/>
                <w:lang w:val="en-US" w:eastAsia="zh-CN"/>
              </w:rPr>
              <w:t>硬化道路区</w:t>
            </w:r>
          </w:p>
        </w:tc>
        <w:tc>
          <w:tcPr>
            <w:tcW w:w="45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7A3169">
            <w:pPr>
              <w:pStyle w:val="34"/>
              <w:bidi w:val="0"/>
              <w:rPr>
                <w:rFonts w:hint="default"/>
                <w:color w:val="auto"/>
                <w:lang w:val="en-US" w:eastAsia="zh-CN"/>
              </w:rPr>
            </w:pPr>
            <w:r>
              <w:rPr>
                <w:rFonts w:hint="eastAsia"/>
                <w:color w:val="auto"/>
                <w:lang w:val="en-US" w:eastAsia="zh-CN"/>
              </w:rPr>
              <w:t>2.11</w:t>
            </w:r>
          </w:p>
        </w:tc>
      </w:tr>
      <w:tr w14:paraId="0A238001">
        <w:tblPrEx>
          <w:tblCellMar>
            <w:top w:w="0" w:type="dxa"/>
            <w:left w:w="0" w:type="dxa"/>
            <w:bottom w:w="0" w:type="dxa"/>
            <w:right w:w="0" w:type="dxa"/>
          </w:tblCellMar>
        </w:tblPrEx>
        <w:trPr>
          <w:trHeight w:val="340" w:hRule="atLeast"/>
        </w:trPr>
        <w:tc>
          <w:tcPr>
            <w:tcW w:w="16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5910A8D">
            <w:pPr>
              <w:pStyle w:val="34"/>
              <w:bidi w:val="0"/>
              <w:rPr>
                <w:rFonts w:hint="default"/>
                <w:color w:val="auto"/>
                <w:lang w:val="en-US" w:eastAsia="zh-CN"/>
              </w:rPr>
            </w:pPr>
            <w:r>
              <w:rPr>
                <w:rFonts w:hint="eastAsia"/>
                <w:color w:val="auto"/>
                <w:lang w:val="en-US" w:eastAsia="zh-CN"/>
              </w:rPr>
              <w:t>3</w:t>
            </w:r>
          </w:p>
        </w:tc>
        <w:tc>
          <w:tcPr>
            <w:tcW w:w="2956"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B03633C">
            <w:pPr>
              <w:pStyle w:val="34"/>
              <w:bidi w:val="0"/>
              <w:rPr>
                <w:rFonts w:hint="eastAsia"/>
                <w:color w:val="auto"/>
                <w:lang w:val="en-US" w:eastAsia="zh-CN"/>
              </w:rPr>
            </w:pPr>
            <w:r>
              <w:rPr>
                <w:rFonts w:hint="eastAsia"/>
                <w:color w:val="auto"/>
                <w:lang w:val="en-US" w:eastAsia="zh-CN"/>
              </w:rPr>
              <w:t>合计</w:t>
            </w:r>
          </w:p>
        </w:tc>
        <w:tc>
          <w:tcPr>
            <w:tcW w:w="45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F7221BA">
            <w:pPr>
              <w:pStyle w:val="34"/>
              <w:bidi w:val="0"/>
              <w:rPr>
                <w:rFonts w:hint="default"/>
                <w:color w:val="auto"/>
                <w:lang w:val="en-US" w:eastAsia="zh-CN"/>
              </w:rPr>
            </w:pPr>
            <w:r>
              <w:rPr>
                <w:rFonts w:hint="eastAsia"/>
                <w:color w:val="auto"/>
                <w:lang w:val="en-US" w:eastAsia="zh-CN"/>
              </w:rPr>
              <w:t>3.66</w:t>
            </w:r>
          </w:p>
        </w:tc>
      </w:tr>
    </w:tbl>
    <w:p w14:paraId="37DFAD54">
      <w:pPr>
        <w:pStyle w:val="3"/>
        <w:numPr>
          <w:ilvl w:val="1"/>
          <w:numId w:val="1"/>
        </w:numPr>
        <w:rPr>
          <w:color w:val="auto"/>
        </w:rPr>
      </w:pPr>
      <w:bookmarkStart w:id="61" w:name="_Toc17916"/>
      <w:r>
        <w:rPr>
          <w:rFonts w:hint="eastAsia"/>
          <w:color w:val="auto"/>
        </w:rPr>
        <w:t>水土流失防治目标</w:t>
      </w:r>
      <w:bookmarkEnd w:id="61"/>
    </w:p>
    <w:p w14:paraId="4B9DAD5B">
      <w:pPr>
        <w:pStyle w:val="5"/>
        <w:numPr>
          <w:ilvl w:val="2"/>
          <w:numId w:val="1"/>
        </w:numPr>
        <w:rPr>
          <w:color w:val="auto"/>
        </w:rPr>
      </w:pPr>
      <w:r>
        <w:rPr>
          <w:rFonts w:hint="eastAsia"/>
          <w:color w:val="auto"/>
        </w:rPr>
        <w:t>执行标准等级</w:t>
      </w:r>
    </w:p>
    <w:p w14:paraId="2B65A8C1">
      <w:pPr>
        <w:rPr>
          <w:rFonts w:hint="default" w:ascii="Times New Roman" w:hAnsi="Times New Roman" w:eastAsia="仿宋_GB2312" w:cs="Times New Roman"/>
          <w:color w:val="auto"/>
        </w:rPr>
      </w:pPr>
      <w:r>
        <w:rPr>
          <w:rFonts w:hint="default" w:ascii="Times New Roman" w:hAnsi="Times New Roman" w:eastAsia="仿宋_GB2312" w:cs="Times New Roman"/>
          <w:color w:val="auto"/>
        </w:rPr>
        <w:t>本项目位于西南紫色土区，根据水利部办公厅关于印发《全国水土保持规划国家级 水土流失重点预防区和重点治理区复核划分成果》的通知(办水保〔2013〕188号)和四川省水利厅关于印发《四川省省级水土流失重点预防区和重点治理区划分成果》的通知 （川水函〔2017〕482 号），本项目所在地雅安市雨城区不属于国家级和省级水土流失 重点预防区和重点治理区</w:t>
      </w:r>
      <w:r>
        <w:rPr>
          <w:rFonts w:hint="eastAsia" w:cs="Times New Roman"/>
          <w:color w:val="auto"/>
          <w:lang w:eastAsia="zh-CN"/>
        </w:rPr>
        <w:t>；</w:t>
      </w:r>
      <w:r>
        <w:rPr>
          <w:rFonts w:hint="default" w:ascii="Times New Roman" w:hAnsi="Times New Roman" w:eastAsia="仿宋_GB2312" w:cs="Times New Roman"/>
          <w:color w:val="auto"/>
        </w:rPr>
        <w:t>根据《雅安市水土保持规划市级水土流失重点预防区和重点 治理区划分成果》，项目区所在地不属于雅安市水土流失重点预防区和重点治理区</w:t>
      </w:r>
      <w:r>
        <w:rPr>
          <w:rFonts w:hint="eastAsia" w:cs="Times New Roman"/>
          <w:color w:val="auto"/>
          <w:lang w:eastAsia="zh-CN"/>
        </w:rPr>
        <w:t>；</w:t>
      </w:r>
      <w:r>
        <w:rPr>
          <w:rFonts w:hint="eastAsia" w:cs="Times New Roman"/>
          <w:color w:val="auto"/>
          <w:lang w:val="en-US" w:eastAsia="zh-CN"/>
        </w:rPr>
        <w:t>根据“</w:t>
      </w:r>
      <w:r>
        <w:rPr>
          <w:rFonts w:hint="eastAsia" w:ascii="Times New Roman" w:hAnsi="Times New Roman" w:cs="Times New Roman"/>
          <w:color w:val="auto"/>
          <w:lang w:val="en-US" w:eastAsia="zh-CN"/>
        </w:rPr>
        <w:t>雨城区水土流失重点防治区治理区公告</w:t>
      </w:r>
      <w:r>
        <w:rPr>
          <w:rFonts w:hint="eastAsia" w:cs="Times New Roman"/>
          <w:color w:val="auto"/>
          <w:lang w:val="en-US" w:eastAsia="zh-CN"/>
        </w:rPr>
        <w:t>”</w:t>
      </w:r>
      <w:r>
        <w:rPr>
          <w:rFonts w:hint="default" w:ascii="Times New Roman" w:hAnsi="Times New Roman" w:eastAsia="仿宋_GB2312" w:cs="Times New Roman"/>
          <w:color w:val="auto"/>
        </w:rPr>
        <w:t>项目区所在地不属于</w:t>
      </w:r>
      <w:r>
        <w:rPr>
          <w:rFonts w:hint="eastAsia" w:ascii="Times New Roman" w:hAnsi="Times New Roman" w:cs="Times New Roman"/>
          <w:color w:val="auto"/>
          <w:lang w:val="en-US" w:eastAsia="zh-CN"/>
        </w:rPr>
        <w:t>雨城区</w:t>
      </w:r>
      <w:r>
        <w:rPr>
          <w:rFonts w:hint="default" w:ascii="Times New Roman" w:hAnsi="Times New Roman" w:eastAsia="仿宋_GB2312" w:cs="Times New Roman"/>
          <w:color w:val="auto"/>
        </w:rPr>
        <w:t>水土流失重点预防区和重点治理区</w:t>
      </w:r>
      <w:r>
        <w:rPr>
          <w:rFonts w:hint="eastAsia" w:ascii="Times New Roman" w:hAnsi="Times New Roman" w:cs="Times New Roman"/>
          <w:color w:val="auto"/>
          <w:lang w:eastAsia="zh-CN"/>
        </w:rPr>
        <w:t>，</w:t>
      </w:r>
      <w:r>
        <w:rPr>
          <w:rFonts w:hint="default" w:ascii="Times New Roman" w:hAnsi="Times New Roman" w:eastAsia="仿宋_GB2312" w:cs="Times New Roman"/>
          <w:color w:val="auto"/>
        </w:rPr>
        <w:t>项目区位于雨城区城区，因此本项目水土流失防治的执行标准按西南紫色土区水土流失一级防治标准执行。</w:t>
      </w:r>
    </w:p>
    <w:p w14:paraId="0F0AAA9F">
      <w:pPr>
        <w:pStyle w:val="5"/>
        <w:numPr>
          <w:ilvl w:val="2"/>
          <w:numId w:val="1"/>
        </w:numPr>
        <w:rPr>
          <w:color w:val="auto"/>
        </w:rPr>
      </w:pPr>
      <w:r>
        <w:rPr>
          <w:rFonts w:hint="eastAsia"/>
          <w:color w:val="auto"/>
        </w:rPr>
        <w:t>防治目标</w:t>
      </w:r>
    </w:p>
    <w:p w14:paraId="121EEDFA">
      <w:pPr>
        <w:rPr>
          <w:color w:val="auto"/>
        </w:rPr>
      </w:pPr>
      <w:r>
        <w:rPr>
          <w:rFonts w:hint="eastAsia"/>
          <w:color w:val="auto"/>
          <w:lang w:eastAsia="zh-CN"/>
        </w:rPr>
        <w:t>防治目标主要有项目建设范围内的新增水土流失得到有效控制，原有水土流失得到治理；水土保持设施安全有效；水土资源、林草植被应得到最大限度地保护与恢复；水土流失治理度、土壤流失控制比、渣土防护率、表土保护率、林草植被恢复率、林草覆盖率六项指标应符合现行国家标准《</w:t>
      </w:r>
      <w:r>
        <w:rPr>
          <w:rFonts w:eastAsia="仿宋_GB2312"/>
          <w:color w:val="auto"/>
          <w:sz w:val="24"/>
        </w:rPr>
        <w:t>生产建设项目水土流失防治标准</w:t>
      </w:r>
      <w:r>
        <w:rPr>
          <w:rFonts w:hint="eastAsia"/>
          <w:color w:val="auto"/>
          <w:lang w:eastAsia="zh-CN"/>
        </w:rPr>
        <w:t>》</w:t>
      </w:r>
      <w:r>
        <w:rPr>
          <w:rFonts w:hint="eastAsia"/>
          <w:color w:val="auto"/>
          <w:lang w:val="en-US" w:eastAsia="zh-CN"/>
        </w:rPr>
        <w:t>GB 50434的规定。</w:t>
      </w:r>
    </w:p>
    <w:p w14:paraId="6F6B7122">
      <w:pPr>
        <w:pStyle w:val="6"/>
        <w:rPr>
          <w:color w:val="auto"/>
          <w:highlight w:val="none"/>
        </w:rPr>
      </w:pPr>
      <w:r>
        <w:rPr>
          <w:rFonts w:hint="eastAsia"/>
          <w:color w:val="auto"/>
          <w:highlight w:val="none"/>
        </w:rPr>
        <w:t>1.5.2.1防治目标的修正</w:t>
      </w:r>
    </w:p>
    <w:p w14:paraId="1567D402">
      <w:pPr>
        <w:bidi w:val="0"/>
        <w:rPr>
          <w:color w:val="auto"/>
          <w:highlight w:val="none"/>
        </w:rPr>
      </w:pPr>
      <w:r>
        <w:rPr>
          <w:color w:val="auto"/>
          <w:highlight w:val="none"/>
        </w:rPr>
        <w:t>根据《生产建设项目水土流失防治标准》（ GB/T50434-2018）的相关要 求，对水土流失防治指标进行修正。修正原则如下：</w:t>
      </w:r>
    </w:p>
    <w:p w14:paraId="2724FBC3">
      <w:pPr>
        <w:bidi w:val="0"/>
        <w:rPr>
          <w:color w:val="auto"/>
          <w:highlight w:val="none"/>
        </w:rPr>
      </w:pPr>
      <w:r>
        <w:rPr>
          <w:color w:val="auto"/>
          <w:highlight w:val="none"/>
        </w:rPr>
        <w:t>1、生产建设项目水土流失防治应达到下列基本目标：</w:t>
      </w:r>
    </w:p>
    <w:p w14:paraId="771B2CD1">
      <w:pPr>
        <w:bidi w:val="0"/>
        <w:rPr>
          <w:color w:val="auto"/>
          <w:highlight w:val="none"/>
        </w:rPr>
      </w:pPr>
      <w:r>
        <w:rPr>
          <w:color w:val="auto"/>
          <w:highlight w:val="none"/>
        </w:rPr>
        <w:t>1）项目建设范围内的新增水土流失应得到有效控制，原有水土流失得到治 理。</w:t>
      </w:r>
    </w:p>
    <w:p w14:paraId="55EBAE33">
      <w:pPr>
        <w:bidi w:val="0"/>
        <w:rPr>
          <w:color w:val="auto"/>
          <w:highlight w:val="none"/>
        </w:rPr>
      </w:pPr>
      <w:r>
        <w:rPr>
          <w:color w:val="auto"/>
          <w:highlight w:val="none"/>
        </w:rPr>
        <w:t>2）水土保持设施应安全有效。</w:t>
      </w:r>
    </w:p>
    <w:p w14:paraId="75E9E400">
      <w:pPr>
        <w:bidi w:val="0"/>
        <w:rPr>
          <w:color w:val="auto"/>
          <w:highlight w:val="none"/>
        </w:rPr>
      </w:pPr>
      <w:r>
        <w:rPr>
          <w:color w:val="auto"/>
          <w:highlight w:val="none"/>
        </w:rPr>
        <w:t>3）水土资源、林草植被应得到最大限度的保护与恢复。</w:t>
      </w:r>
    </w:p>
    <w:p w14:paraId="0B85FCA7">
      <w:pPr>
        <w:bidi w:val="0"/>
        <w:rPr>
          <w:color w:val="auto"/>
          <w:highlight w:val="none"/>
        </w:rPr>
      </w:pPr>
      <w:r>
        <w:rPr>
          <w:color w:val="auto"/>
          <w:highlight w:val="none"/>
        </w:rPr>
        <w:t>4）水土流失治理度、土壤流失控制比、渣土防护率、表土保护率、林草植被恢复率、林草覆盖率六项指标应符合现行国家标准《生产建设项目水土流失防治标准》的规定。</w:t>
      </w:r>
    </w:p>
    <w:p w14:paraId="5AA0B88A">
      <w:pPr>
        <w:bidi w:val="0"/>
        <w:rPr>
          <w:color w:val="auto"/>
          <w:highlight w:val="none"/>
        </w:rPr>
      </w:pPr>
      <w:r>
        <w:rPr>
          <w:color w:val="auto"/>
          <w:highlight w:val="none"/>
        </w:rPr>
        <w:t>2、生产建设项目水土流失防治六项指标目标值如下：</w:t>
      </w:r>
    </w:p>
    <w:p w14:paraId="715D29E3">
      <w:pPr>
        <w:bidi w:val="0"/>
        <w:rPr>
          <w:color w:val="auto"/>
          <w:highlight w:val="none"/>
        </w:rPr>
      </w:pPr>
      <w:r>
        <w:rPr>
          <w:color w:val="auto"/>
          <w:highlight w:val="none"/>
        </w:rPr>
        <w:t>1）项目区不属于极干旱或干旱地区，水土流失治理度、林草植被恢复率和林草覆盖率不作修正。</w:t>
      </w:r>
    </w:p>
    <w:p w14:paraId="476EAAB5">
      <w:pPr>
        <w:bidi w:val="0"/>
        <w:rPr>
          <w:color w:val="auto"/>
          <w:highlight w:val="none"/>
        </w:rPr>
      </w:pPr>
      <w:r>
        <w:rPr>
          <w:color w:val="auto"/>
          <w:highlight w:val="none"/>
        </w:rPr>
        <w:t>2）项目区土壤侵蚀强度为微度，土壤流失控制比防治标准值提高到</w:t>
      </w:r>
      <w:r>
        <w:rPr>
          <w:rFonts w:hint="eastAsia"/>
          <w:color w:val="auto"/>
          <w:highlight w:val="none"/>
          <w:lang w:val="en-US" w:eastAsia="zh-CN"/>
        </w:rPr>
        <w:t>1.67</w:t>
      </w:r>
      <w:r>
        <w:rPr>
          <w:color w:val="auto"/>
          <w:highlight w:val="none"/>
        </w:rPr>
        <w:t>。</w:t>
      </w:r>
    </w:p>
    <w:p w14:paraId="74FAB347">
      <w:pPr>
        <w:bidi w:val="0"/>
        <w:rPr>
          <w:color w:val="auto"/>
          <w:highlight w:val="none"/>
        </w:rPr>
      </w:pPr>
      <w:r>
        <w:rPr>
          <w:rFonts w:hint="eastAsia" w:eastAsia="FangSong_GB2312"/>
          <w:color w:val="auto"/>
          <w:highlight w:val="none"/>
          <w:lang w:val="en-US" w:eastAsia="zh-CN"/>
        </w:rPr>
        <w:t>3）</w:t>
      </w:r>
      <w:r>
        <w:rPr>
          <w:rFonts w:ascii="FangSong_GB2312" w:hAnsi="FangSong_GB2312" w:eastAsia="FangSong_GB2312" w:cs="FangSong_GB2312"/>
          <w:spacing w:val="-2"/>
          <w:sz w:val="24"/>
          <w:szCs w:val="24"/>
        </w:rPr>
        <w:t>本项目位于城市区，渣土防护率提高</w:t>
      </w:r>
      <w:r>
        <w:rPr>
          <w:rFonts w:ascii="FangSong_GB2312" w:hAnsi="FangSong_GB2312" w:eastAsia="FangSong_GB2312" w:cs="FangSong_GB2312"/>
          <w:spacing w:val="-55"/>
          <w:sz w:val="24"/>
          <w:szCs w:val="24"/>
        </w:rPr>
        <w:t xml:space="preserve"> </w:t>
      </w:r>
      <w:r>
        <w:rPr>
          <w:rFonts w:ascii="Times New Roman" w:hAnsi="Times New Roman" w:eastAsia="Times New Roman" w:cs="Times New Roman"/>
          <w:spacing w:val="-2"/>
          <w:sz w:val="24"/>
          <w:szCs w:val="24"/>
        </w:rPr>
        <w:t>2%</w:t>
      </w:r>
      <w:r>
        <w:rPr>
          <w:rFonts w:ascii="FangSong_GB2312" w:hAnsi="FangSong_GB2312" w:eastAsia="FangSong_GB2312" w:cs="FangSong_GB2312"/>
          <w:spacing w:val="-2"/>
          <w:sz w:val="24"/>
          <w:szCs w:val="24"/>
        </w:rPr>
        <w:t>；</w:t>
      </w:r>
    </w:p>
    <w:p w14:paraId="7EB73ED5">
      <w:pPr>
        <w:bidi w:val="0"/>
        <w:rPr>
          <w:rFonts w:hint="eastAsia"/>
          <w:color w:val="auto"/>
          <w:lang w:eastAsia="zh-CN"/>
        </w:rPr>
      </w:pPr>
      <w:r>
        <w:rPr>
          <w:rFonts w:hint="eastAsia"/>
          <w:color w:val="auto"/>
          <w:highlight w:val="none"/>
          <w:lang w:val="en-US" w:eastAsia="zh-CN"/>
        </w:rPr>
        <w:t>4）</w:t>
      </w:r>
      <w:r>
        <w:rPr>
          <w:rFonts w:hint="eastAsia"/>
          <w:color w:val="auto"/>
          <w:highlight w:val="none"/>
        </w:rPr>
        <w:t>根据《生产</w:t>
      </w:r>
      <w:r>
        <w:rPr>
          <w:rFonts w:hint="eastAsia"/>
          <w:color w:val="auto"/>
        </w:rPr>
        <w:t>建设项目水土流失防治标准》（GB/T 50434-2018）“4.0.10 对林草植被有限制的项目，林草覆盖率可按相关规定适当调整”。根据《工业项目建设用地控制指标》（国土资发【2008】24号）：“工业企业内部不得安排绿地，但因生产工艺等特殊要求需要安排一定比例绿地的，绿地率不得超过20%”；结合本项目主体设计实际情况，</w:t>
      </w:r>
      <w:r>
        <w:rPr>
          <w:rFonts w:hint="eastAsia"/>
          <w:color w:val="auto"/>
          <w:lang w:val="en-US" w:eastAsia="zh-CN"/>
        </w:rPr>
        <w:t>本项目不涉及</w:t>
      </w:r>
      <w:r>
        <w:rPr>
          <w:color w:val="auto"/>
        </w:rPr>
        <w:t>景观绿化施工</w:t>
      </w:r>
      <w:r>
        <w:rPr>
          <w:rFonts w:hint="eastAsia"/>
          <w:color w:val="auto"/>
          <w:lang w:eastAsia="zh-CN"/>
        </w:rPr>
        <w:t>，林草植被恢复率不计列。</w:t>
      </w:r>
    </w:p>
    <w:p w14:paraId="7D38C8F0">
      <w:pPr>
        <w:pStyle w:val="37"/>
        <w:ind w:firstLine="480"/>
        <w:rPr>
          <w:rFonts w:hint="eastAsia"/>
          <w:color w:val="0000FF"/>
          <w:lang w:val="en-US" w:eastAsia="zh-CN"/>
        </w:rPr>
      </w:pPr>
      <w:r>
        <w:rPr>
          <w:rFonts w:hint="eastAsia" w:cs="Times New Roman"/>
          <w:color w:val="auto"/>
        </w:rPr>
        <w:t>综合考虑，</w:t>
      </w:r>
      <w:r>
        <w:rPr>
          <w:rFonts w:hint="eastAsia" w:cs="Times New Roman"/>
          <w:color w:val="auto"/>
          <w:lang w:val="en-US" w:eastAsia="zh-CN"/>
        </w:rPr>
        <w:t>本项目无可剥离表土资源、无林草植被，</w:t>
      </w:r>
      <w:r>
        <w:rPr>
          <w:rFonts w:hint="eastAsia"/>
          <w:color w:val="auto"/>
          <w:lang w:val="en-US" w:eastAsia="zh-CN"/>
        </w:rPr>
        <w:t>不涉及</w:t>
      </w:r>
      <w:r>
        <w:rPr>
          <w:color w:val="auto"/>
        </w:rPr>
        <w:t>景观绿化施工</w:t>
      </w:r>
      <w:r>
        <w:rPr>
          <w:rFonts w:hint="eastAsia"/>
          <w:color w:val="auto"/>
          <w:lang w:eastAsia="zh-CN"/>
        </w:rPr>
        <w:t>，</w:t>
      </w:r>
      <w:r>
        <w:rPr>
          <w:rFonts w:hint="eastAsia"/>
          <w:color w:val="auto"/>
          <w:lang w:val="en-US" w:eastAsia="zh-CN"/>
        </w:rPr>
        <w:t>因此</w:t>
      </w:r>
      <w:r>
        <w:rPr>
          <w:rFonts w:hint="eastAsia" w:cs="Times New Roman"/>
          <w:color w:val="auto"/>
        </w:rPr>
        <w:t>本项目设计水平年水土流失防治目标值确定为水土流失治理</w:t>
      </w:r>
      <w:r>
        <w:rPr>
          <w:rFonts w:hint="eastAsia" w:cs="Times New Roman"/>
          <w:color w:val="auto"/>
          <w:lang w:val="en-US" w:eastAsia="zh-CN"/>
        </w:rPr>
        <w:t>97</w:t>
      </w:r>
      <w:r>
        <w:rPr>
          <w:rFonts w:hint="eastAsia" w:cs="Times New Roman"/>
          <w:color w:val="auto"/>
        </w:rPr>
        <w:t>%、土壤流失控制比</w:t>
      </w:r>
      <w:r>
        <w:rPr>
          <w:rFonts w:hint="eastAsia" w:cs="Times New Roman"/>
          <w:color w:val="auto"/>
          <w:lang w:val="en-US" w:eastAsia="zh-CN"/>
        </w:rPr>
        <w:t>1.67</w:t>
      </w:r>
      <w:r>
        <w:rPr>
          <w:rFonts w:hint="eastAsia" w:cs="Times New Roman"/>
          <w:color w:val="auto"/>
        </w:rPr>
        <w:t>、渣土防护率</w:t>
      </w:r>
      <w:r>
        <w:rPr>
          <w:rFonts w:hint="eastAsia" w:cs="Times New Roman"/>
          <w:color w:val="auto"/>
          <w:lang w:val="en-US" w:eastAsia="zh-CN"/>
        </w:rPr>
        <w:t>94</w:t>
      </w:r>
      <w:r>
        <w:rPr>
          <w:rFonts w:hint="eastAsia" w:cs="Times New Roman"/>
          <w:color w:val="auto"/>
        </w:rPr>
        <w:t>%、林草覆盖率</w:t>
      </w:r>
      <w:r>
        <w:rPr>
          <w:rFonts w:hint="eastAsia" w:cs="Times New Roman"/>
          <w:color w:val="auto"/>
          <w:lang w:eastAsia="zh-CN"/>
        </w:rPr>
        <w:t>、</w:t>
      </w:r>
      <w:r>
        <w:rPr>
          <w:rFonts w:hint="eastAsia" w:cs="Times New Roman"/>
          <w:color w:val="auto"/>
        </w:rPr>
        <w:t>表土保护率</w:t>
      </w:r>
      <w:r>
        <w:rPr>
          <w:rFonts w:hint="eastAsia" w:cs="Times New Roman"/>
          <w:color w:val="auto"/>
          <w:lang w:val="en-US" w:eastAsia="zh-CN"/>
        </w:rPr>
        <w:t>和</w:t>
      </w:r>
      <w:r>
        <w:rPr>
          <w:rFonts w:hint="eastAsia" w:cs="Times New Roman"/>
          <w:color w:val="auto"/>
        </w:rPr>
        <w:t>林草植被恢复率</w:t>
      </w:r>
      <w:r>
        <w:rPr>
          <w:rFonts w:hint="eastAsia" w:cs="Times New Roman"/>
          <w:color w:val="auto"/>
          <w:lang w:val="en-US" w:eastAsia="zh-CN"/>
        </w:rPr>
        <w:t>不计列。</w:t>
      </w:r>
      <w:r>
        <w:rPr>
          <w:rFonts w:hint="eastAsia"/>
          <w:color w:val="auto"/>
        </w:rPr>
        <w:t>修正后水土流失防治目标详见表1.5-1。</w:t>
      </w:r>
    </w:p>
    <w:p w14:paraId="1F9FB396">
      <w:pPr>
        <w:pStyle w:val="6"/>
        <w:bidi w:val="0"/>
        <w:rPr>
          <w:color w:val="auto"/>
        </w:rPr>
      </w:pPr>
      <w:r>
        <w:rPr>
          <w:rFonts w:hint="eastAsia"/>
          <w:color w:val="auto"/>
        </w:rPr>
        <w:t>1.5.2.2</w:t>
      </w:r>
      <w:r>
        <w:rPr>
          <w:rFonts w:hint="eastAsia"/>
          <w:color w:val="auto"/>
          <w:lang w:val="en-US" w:eastAsia="zh-CN"/>
        </w:rPr>
        <w:t>采取的</w:t>
      </w:r>
      <w:r>
        <w:rPr>
          <w:rFonts w:hint="eastAsia"/>
          <w:color w:val="auto"/>
        </w:rPr>
        <w:t>防治目标值</w:t>
      </w:r>
    </w:p>
    <w:p w14:paraId="62FA242D">
      <w:pPr>
        <w:bidi w:val="0"/>
        <w:rPr>
          <w:rFonts w:hint="eastAsia"/>
          <w:color w:val="auto"/>
        </w:rPr>
      </w:pPr>
      <w:r>
        <w:rPr>
          <w:rFonts w:hint="eastAsia"/>
          <w:color w:val="auto"/>
        </w:rPr>
        <w:t>在对防治目标进行修正后，方案设计水平年内的水土流失防治目标值为：水土流失治理度9</w:t>
      </w:r>
      <w:r>
        <w:rPr>
          <w:rFonts w:hint="eastAsia"/>
          <w:color w:val="auto"/>
          <w:lang w:val="en-US" w:eastAsia="zh-CN"/>
        </w:rPr>
        <w:t>7</w:t>
      </w:r>
      <w:r>
        <w:rPr>
          <w:rFonts w:hint="eastAsia"/>
          <w:color w:val="auto"/>
        </w:rPr>
        <w:t>%，土壤流失控制比</w:t>
      </w:r>
      <w:r>
        <w:rPr>
          <w:rFonts w:hint="eastAsia"/>
          <w:color w:val="auto"/>
          <w:lang w:val="en-US" w:eastAsia="zh-CN"/>
        </w:rPr>
        <w:t>1.67</w:t>
      </w:r>
      <w:r>
        <w:rPr>
          <w:rFonts w:hint="eastAsia"/>
          <w:color w:val="auto"/>
        </w:rPr>
        <w:t>，渣土防护率</w:t>
      </w:r>
      <w:r>
        <w:rPr>
          <w:rFonts w:hint="eastAsia"/>
          <w:color w:val="auto"/>
          <w:lang w:val="en-US" w:eastAsia="zh-CN"/>
        </w:rPr>
        <w:t>94</w:t>
      </w:r>
      <w:r>
        <w:rPr>
          <w:rFonts w:hint="eastAsia"/>
          <w:color w:val="auto"/>
        </w:rPr>
        <w:t>%，</w:t>
      </w:r>
      <w:r>
        <w:rPr>
          <w:rFonts w:hint="eastAsia"/>
          <w:color w:val="auto"/>
          <w:lang w:val="en-US" w:eastAsia="zh-CN"/>
        </w:rPr>
        <w:t>表土保护、</w:t>
      </w:r>
      <w:r>
        <w:rPr>
          <w:rFonts w:hint="eastAsia"/>
          <w:color w:val="auto"/>
        </w:rPr>
        <w:t>林草植被恢复率</w:t>
      </w:r>
      <w:r>
        <w:rPr>
          <w:rFonts w:hint="eastAsia"/>
          <w:color w:val="auto"/>
          <w:lang w:eastAsia="zh-CN"/>
        </w:rPr>
        <w:t>、</w:t>
      </w:r>
      <w:r>
        <w:rPr>
          <w:rFonts w:hint="eastAsia"/>
          <w:color w:val="auto"/>
        </w:rPr>
        <w:t>林草覆盖率</w:t>
      </w:r>
      <w:r>
        <w:rPr>
          <w:rFonts w:hint="eastAsia"/>
          <w:color w:val="auto"/>
          <w:lang w:val="en-US" w:eastAsia="zh-CN"/>
        </w:rPr>
        <w:t>不计列。</w:t>
      </w:r>
      <w:r>
        <w:rPr>
          <w:rFonts w:hint="eastAsia"/>
          <w:color w:val="auto"/>
        </w:rPr>
        <w:t>本方案采用的防治目标值见表1</w:t>
      </w:r>
      <w:r>
        <w:rPr>
          <w:rFonts w:hint="eastAsia"/>
          <w:color w:val="auto"/>
          <w:lang w:val="en-US" w:eastAsia="zh-CN"/>
        </w:rPr>
        <w:t>.5</w:t>
      </w:r>
      <w:r>
        <w:rPr>
          <w:rFonts w:hint="eastAsia"/>
          <w:color w:val="auto"/>
        </w:rPr>
        <w:t>-1。</w:t>
      </w:r>
    </w:p>
    <w:p w14:paraId="5129966C">
      <w:pPr>
        <w:spacing w:line="240" w:lineRule="auto"/>
        <w:ind w:firstLine="0" w:firstLineChars="0"/>
        <w:jc w:val="center"/>
        <w:rPr>
          <w:rFonts w:hint="eastAsia"/>
          <w:b/>
          <w:color w:val="auto"/>
          <w:sz w:val="21"/>
          <w:szCs w:val="21"/>
        </w:rPr>
      </w:pPr>
    </w:p>
    <w:p w14:paraId="1901A792">
      <w:pPr>
        <w:spacing w:line="240" w:lineRule="auto"/>
        <w:ind w:firstLine="0" w:firstLineChars="0"/>
        <w:jc w:val="center"/>
        <w:rPr>
          <w:b/>
          <w:color w:val="auto"/>
          <w:sz w:val="21"/>
          <w:szCs w:val="21"/>
        </w:rPr>
      </w:pPr>
      <w:r>
        <w:rPr>
          <w:rFonts w:hint="eastAsia"/>
          <w:b/>
          <w:color w:val="auto"/>
          <w:sz w:val="21"/>
          <w:szCs w:val="21"/>
        </w:rPr>
        <w:t>表1</w:t>
      </w:r>
      <w:r>
        <w:rPr>
          <w:rFonts w:hint="eastAsia"/>
          <w:b/>
          <w:color w:val="auto"/>
          <w:sz w:val="21"/>
          <w:szCs w:val="21"/>
          <w:lang w:val="en-US" w:eastAsia="zh-CN"/>
        </w:rPr>
        <w:t>.5</w:t>
      </w:r>
      <w:r>
        <w:rPr>
          <w:rFonts w:hint="eastAsia"/>
          <w:b/>
          <w:color w:val="auto"/>
          <w:sz w:val="21"/>
          <w:szCs w:val="21"/>
        </w:rPr>
        <w:t>-1防治目标值</w:t>
      </w:r>
    </w:p>
    <w:tbl>
      <w:tblPr>
        <w:tblStyle w:val="25"/>
        <w:tblW w:w="9014" w:type="dxa"/>
        <w:jc w:val="center"/>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Layout w:type="fixed"/>
        <w:tblCellMar>
          <w:top w:w="0" w:type="dxa"/>
          <w:left w:w="108" w:type="dxa"/>
          <w:bottom w:w="0" w:type="dxa"/>
          <w:right w:w="108" w:type="dxa"/>
        </w:tblCellMar>
      </w:tblPr>
      <w:tblGrid>
        <w:gridCol w:w="1905"/>
        <w:gridCol w:w="795"/>
        <w:gridCol w:w="795"/>
        <w:gridCol w:w="1155"/>
        <w:gridCol w:w="915"/>
        <w:gridCol w:w="780"/>
        <w:gridCol w:w="780"/>
        <w:gridCol w:w="900"/>
        <w:gridCol w:w="989"/>
      </w:tblGrid>
      <w:tr w14:paraId="12F71AB0">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306" w:hRule="atLeast"/>
          <w:jc w:val="center"/>
        </w:trPr>
        <w:tc>
          <w:tcPr>
            <w:tcW w:w="1905" w:type="dxa"/>
            <w:vMerge w:val="restart"/>
            <w:tcBorders>
              <w:tl2br w:val="nil"/>
              <w:tr2bl w:val="nil"/>
            </w:tcBorders>
            <w:shd w:val="clear" w:color="auto" w:fill="auto"/>
            <w:vAlign w:val="center"/>
          </w:tcPr>
          <w:p w14:paraId="65B01166">
            <w:pPr>
              <w:pStyle w:val="34"/>
              <w:rPr>
                <w:color w:val="auto"/>
              </w:rPr>
            </w:pPr>
            <w:r>
              <w:rPr>
                <w:rFonts w:hint="eastAsia"/>
                <w:color w:val="auto"/>
              </w:rPr>
              <w:t>防治指标</w:t>
            </w:r>
          </w:p>
        </w:tc>
        <w:tc>
          <w:tcPr>
            <w:tcW w:w="1590" w:type="dxa"/>
            <w:gridSpan w:val="2"/>
            <w:tcBorders>
              <w:tl2br w:val="nil"/>
              <w:tr2bl w:val="nil"/>
            </w:tcBorders>
            <w:shd w:val="clear" w:color="auto" w:fill="auto"/>
            <w:vAlign w:val="center"/>
          </w:tcPr>
          <w:p w14:paraId="5C88E885">
            <w:pPr>
              <w:pStyle w:val="34"/>
              <w:rPr>
                <w:color w:val="auto"/>
              </w:rPr>
            </w:pPr>
            <w:r>
              <w:rPr>
                <w:rFonts w:hint="eastAsia"/>
                <w:color w:val="auto"/>
                <w:lang w:eastAsia="zh-CN"/>
              </w:rPr>
              <w:t>一</w:t>
            </w:r>
            <w:r>
              <w:rPr>
                <w:rFonts w:hint="eastAsia"/>
                <w:color w:val="auto"/>
              </w:rPr>
              <w:t>级标准</w:t>
            </w:r>
          </w:p>
        </w:tc>
        <w:tc>
          <w:tcPr>
            <w:tcW w:w="1155" w:type="dxa"/>
            <w:vMerge w:val="restart"/>
            <w:tcBorders>
              <w:tl2br w:val="nil"/>
              <w:tr2bl w:val="nil"/>
            </w:tcBorders>
            <w:shd w:val="clear" w:color="auto" w:fill="auto"/>
            <w:vAlign w:val="center"/>
          </w:tcPr>
          <w:p w14:paraId="5850B9C8">
            <w:pPr>
              <w:pStyle w:val="34"/>
              <w:rPr>
                <w:rFonts w:hint="eastAsia" w:eastAsia="仿宋_GB2312"/>
                <w:color w:val="auto"/>
                <w:lang w:eastAsia="zh-CN"/>
              </w:rPr>
            </w:pPr>
            <w:r>
              <w:rPr>
                <w:rFonts w:hint="eastAsia"/>
                <w:color w:val="auto"/>
                <w:lang w:eastAsia="zh-CN"/>
              </w:rPr>
              <w:t>位于水土流失</w:t>
            </w:r>
            <w:r>
              <w:rPr>
                <w:rFonts w:hint="eastAsia"/>
                <w:color w:val="auto"/>
                <w:lang w:val="en-US" w:eastAsia="zh-CN"/>
              </w:rPr>
              <w:t>重点治理预防区</w:t>
            </w:r>
          </w:p>
        </w:tc>
        <w:tc>
          <w:tcPr>
            <w:tcW w:w="915" w:type="dxa"/>
            <w:vMerge w:val="restart"/>
            <w:tcBorders>
              <w:tl2br w:val="nil"/>
              <w:tr2bl w:val="nil"/>
            </w:tcBorders>
            <w:shd w:val="clear" w:color="auto" w:fill="auto"/>
            <w:vAlign w:val="center"/>
          </w:tcPr>
          <w:p w14:paraId="43979E96">
            <w:pPr>
              <w:pStyle w:val="34"/>
              <w:rPr>
                <w:color w:val="auto"/>
              </w:rPr>
            </w:pPr>
            <w:r>
              <w:rPr>
                <w:rFonts w:hint="eastAsia"/>
                <w:color w:val="auto"/>
              </w:rPr>
              <w:t>按土壤侵蚀强度修正</w:t>
            </w:r>
          </w:p>
        </w:tc>
        <w:tc>
          <w:tcPr>
            <w:tcW w:w="780" w:type="dxa"/>
            <w:vMerge w:val="restart"/>
            <w:tcBorders>
              <w:tl2br w:val="nil"/>
              <w:tr2bl w:val="nil"/>
            </w:tcBorders>
            <w:shd w:val="clear" w:color="auto" w:fill="auto"/>
            <w:vAlign w:val="center"/>
          </w:tcPr>
          <w:p w14:paraId="2EC4998B">
            <w:pPr>
              <w:pStyle w:val="34"/>
              <w:rPr>
                <w:rFonts w:hint="default" w:eastAsia="仿宋_GB2312"/>
                <w:color w:val="auto"/>
                <w:lang w:val="en-US" w:eastAsia="zh-CN"/>
              </w:rPr>
            </w:pPr>
            <w:r>
              <w:rPr>
                <w:rFonts w:hint="eastAsia"/>
                <w:color w:val="auto"/>
                <w:lang w:val="en-US" w:eastAsia="zh-CN"/>
              </w:rPr>
              <w:t>位于城市区域</w:t>
            </w:r>
          </w:p>
        </w:tc>
        <w:tc>
          <w:tcPr>
            <w:tcW w:w="780" w:type="dxa"/>
            <w:vMerge w:val="restart"/>
            <w:tcBorders>
              <w:tl2br w:val="nil"/>
              <w:tr2bl w:val="nil"/>
            </w:tcBorders>
            <w:shd w:val="clear" w:color="auto" w:fill="auto"/>
            <w:vAlign w:val="center"/>
          </w:tcPr>
          <w:p w14:paraId="2CCBCF4D">
            <w:pPr>
              <w:pStyle w:val="34"/>
              <w:rPr>
                <w:rFonts w:hint="eastAsia" w:eastAsia="仿宋_GB2312"/>
                <w:color w:val="auto"/>
                <w:lang w:val="en-US" w:eastAsia="zh-CN"/>
              </w:rPr>
            </w:pPr>
            <w:r>
              <w:rPr>
                <w:rFonts w:hint="eastAsia"/>
                <w:color w:val="auto"/>
                <w:lang w:val="en-US" w:eastAsia="zh-CN"/>
              </w:rPr>
              <w:t>其他修正</w:t>
            </w:r>
          </w:p>
        </w:tc>
        <w:tc>
          <w:tcPr>
            <w:tcW w:w="1889" w:type="dxa"/>
            <w:gridSpan w:val="2"/>
            <w:tcBorders>
              <w:tl2br w:val="nil"/>
              <w:tr2bl w:val="nil"/>
            </w:tcBorders>
            <w:shd w:val="clear" w:color="auto" w:fill="auto"/>
            <w:vAlign w:val="center"/>
          </w:tcPr>
          <w:p w14:paraId="1FA3741D">
            <w:pPr>
              <w:pStyle w:val="34"/>
              <w:rPr>
                <w:color w:val="auto"/>
              </w:rPr>
            </w:pPr>
            <w:r>
              <w:rPr>
                <w:rFonts w:hint="eastAsia"/>
                <w:color w:val="auto"/>
              </w:rPr>
              <w:t>采用标准</w:t>
            </w:r>
          </w:p>
        </w:tc>
      </w:tr>
      <w:tr w14:paraId="6D903245">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634" w:hRule="atLeast"/>
          <w:jc w:val="center"/>
        </w:trPr>
        <w:tc>
          <w:tcPr>
            <w:tcW w:w="1905" w:type="dxa"/>
            <w:vMerge w:val="continue"/>
            <w:tcBorders>
              <w:tl2br w:val="nil"/>
              <w:tr2bl w:val="nil"/>
            </w:tcBorders>
            <w:shd w:val="clear" w:color="auto" w:fill="auto"/>
            <w:vAlign w:val="center"/>
          </w:tcPr>
          <w:p w14:paraId="7E46264D">
            <w:pPr>
              <w:pStyle w:val="34"/>
              <w:rPr>
                <w:color w:val="auto"/>
              </w:rPr>
            </w:pPr>
          </w:p>
        </w:tc>
        <w:tc>
          <w:tcPr>
            <w:tcW w:w="795" w:type="dxa"/>
            <w:tcBorders>
              <w:tl2br w:val="nil"/>
              <w:tr2bl w:val="nil"/>
            </w:tcBorders>
            <w:shd w:val="clear" w:color="auto" w:fill="auto"/>
            <w:vAlign w:val="center"/>
          </w:tcPr>
          <w:p w14:paraId="60E51201">
            <w:pPr>
              <w:pStyle w:val="34"/>
              <w:rPr>
                <w:color w:val="auto"/>
              </w:rPr>
            </w:pPr>
            <w:r>
              <w:rPr>
                <w:rFonts w:hint="eastAsia"/>
                <w:color w:val="auto"/>
              </w:rPr>
              <w:t>施工期</w:t>
            </w:r>
          </w:p>
        </w:tc>
        <w:tc>
          <w:tcPr>
            <w:tcW w:w="795" w:type="dxa"/>
            <w:tcBorders>
              <w:tl2br w:val="nil"/>
              <w:tr2bl w:val="nil"/>
            </w:tcBorders>
            <w:shd w:val="clear" w:color="auto" w:fill="auto"/>
            <w:vAlign w:val="center"/>
          </w:tcPr>
          <w:p w14:paraId="5E6A121C">
            <w:pPr>
              <w:pStyle w:val="34"/>
              <w:rPr>
                <w:color w:val="auto"/>
              </w:rPr>
            </w:pPr>
            <w:r>
              <w:rPr>
                <w:rFonts w:hint="eastAsia"/>
                <w:color w:val="auto"/>
              </w:rPr>
              <w:t>设计水平年</w:t>
            </w:r>
          </w:p>
        </w:tc>
        <w:tc>
          <w:tcPr>
            <w:tcW w:w="1155" w:type="dxa"/>
            <w:vMerge w:val="continue"/>
            <w:tcBorders>
              <w:tl2br w:val="nil"/>
              <w:tr2bl w:val="nil"/>
            </w:tcBorders>
            <w:shd w:val="clear" w:color="auto" w:fill="auto"/>
            <w:vAlign w:val="center"/>
          </w:tcPr>
          <w:p w14:paraId="2D5C2CDD">
            <w:pPr>
              <w:pStyle w:val="34"/>
              <w:rPr>
                <w:color w:val="auto"/>
              </w:rPr>
            </w:pPr>
          </w:p>
        </w:tc>
        <w:tc>
          <w:tcPr>
            <w:tcW w:w="915" w:type="dxa"/>
            <w:vMerge w:val="continue"/>
            <w:tcBorders>
              <w:tl2br w:val="nil"/>
              <w:tr2bl w:val="nil"/>
            </w:tcBorders>
            <w:shd w:val="clear" w:color="auto" w:fill="auto"/>
            <w:vAlign w:val="center"/>
          </w:tcPr>
          <w:p w14:paraId="67358714">
            <w:pPr>
              <w:pStyle w:val="34"/>
              <w:rPr>
                <w:color w:val="auto"/>
              </w:rPr>
            </w:pPr>
          </w:p>
        </w:tc>
        <w:tc>
          <w:tcPr>
            <w:tcW w:w="780" w:type="dxa"/>
            <w:vMerge w:val="continue"/>
            <w:tcBorders>
              <w:tl2br w:val="nil"/>
              <w:tr2bl w:val="nil"/>
            </w:tcBorders>
            <w:shd w:val="clear" w:color="auto" w:fill="auto"/>
            <w:vAlign w:val="center"/>
          </w:tcPr>
          <w:p w14:paraId="55238FEA">
            <w:pPr>
              <w:pStyle w:val="34"/>
              <w:rPr>
                <w:color w:val="auto"/>
              </w:rPr>
            </w:pPr>
          </w:p>
        </w:tc>
        <w:tc>
          <w:tcPr>
            <w:tcW w:w="780" w:type="dxa"/>
            <w:vMerge w:val="continue"/>
            <w:tcBorders>
              <w:tl2br w:val="nil"/>
              <w:tr2bl w:val="nil"/>
            </w:tcBorders>
            <w:shd w:val="clear" w:color="auto" w:fill="auto"/>
            <w:vAlign w:val="center"/>
          </w:tcPr>
          <w:p w14:paraId="07975FE7">
            <w:pPr>
              <w:pStyle w:val="34"/>
              <w:rPr>
                <w:color w:val="auto"/>
              </w:rPr>
            </w:pPr>
          </w:p>
        </w:tc>
        <w:tc>
          <w:tcPr>
            <w:tcW w:w="900" w:type="dxa"/>
            <w:tcBorders>
              <w:tl2br w:val="nil"/>
              <w:tr2bl w:val="nil"/>
            </w:tcBorders>
            <w:shd w:val="clear" w:color="auto" w:fill="auto"/>
            <w:vAlign w:val="center"/>
          </w:tcPr>
          <w:p w14:paraId="4CC43E56">
            <w:pPr>
              <w:pStyle w:val="34"/>
              <w:rPr>
                <w:color w:val="auto"/>
              </w:rPr>
            </w:pPr>
            <w:r>
              <w:rPr>
                <w:rFonts w:hint="eastAsia"/>
                <w:color w:val="auto"/>
              </w:rPr>
              <w:t>施工期</w:t>
            </w:r>
          </w:p>
        </w:tc>
        <w:tc>
          <w:tcPr>
            <w:tcW w:w="989" w:type="dxa"/>
            <w:tcBorders>
              <w:tl2br w:val="nil"/>
              <w:tr2bl w:val="nil"/>
            </w:tcBorders>
            <w:shd w:val="clear" w:color="auto" w:fill="auto"/>
            <w:vAlign w:val="center"/>
          </w:tcPr>
          <w:p w14:paraId="431A837B">
            <w:pPr>
              <w:pStyle w:val="34"/>
              <w:rPr>
                <w:color w:val="auto"/>
              </w:rPr>
            </w:pPr>
            <w:r>
              <w:rPr>
                <w:rFonts w:hint="eastAsia"/>
                <w:color w:val="auto"/>
              </w:rPr>
              <w:t>设计水平年</w:t>
            </w:r>
          </w:p>
        </w:tc>
      </w:tr>
      <w:tr w14:paraId="27725E43">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306" w:hRule="atLeast"/>
          <w:jc w:val="center"/>
        </w:trPr>
        <w:tc>
          <w:tcPr>
            <w:tcW w:w="1905" w:type="dxa"/>
            <w:tcBorders>
              <w:tl2br w:val="nil"/>
              <w:tr2bl w:val="nil"/>
            </w:tcBorders>
            <w:shd w:val="clear" w:color="auto" w:fill="auto"/>
            <w:vAlign w:val="center"/>
          </w:tcPr>
          <w:p w14:paraId="5387FF84">
            <w:pPr>
              <w:pStyle w:val="34"/>
              <w:jc w:val="both"/>
              <w:rPr>
                <w:color w:val="auto"/>
              </w:rPr>
            </w:pPr>
            <w:r>
              <w:rPr>
                <w:rFonts w:hint="eastAsia"/>
                <w:color w:val="auto"/>
              </w:rPr>
              <w:t>水土流失治理度（%）</w:t>
            </w:r>
          </w:p>
        </w:tc>
        <w:tc>
          <w:tcPr>
            <w:tcW w:w="795" w:type="dxa"/>
            <w:tcBorders>
              <w:tl2br w:val="nil"/>
              <w:tr2bl w:val="nil"/>
            </w:tcBorders>
            <w:shd w:val="clear" w:color="auto" w:fill="auto"/>
            <w:vAlign w:val="top"/>
          </w:tcPr>
          <w:p w14:paraId="5A64A193">
            <w:pPr>
              <w:pStyle w:val="34"/>
              <w:bidi w:val="0"/>
              <w:rPr>
                <w:color w:val="auto"/>
              </w:rPr>
            </w:pPr>
            <w:r>
              <w:rPr>
                <w:color w:val="auto"/>
              </w:rPr>
              <w:t>-</w:t>
            </w:r>
          </w:p>
        </w:tc>
        <w:tc>
          <w:tcPr>
            <w:tcW w:w="795" w:type="dxa"/>
            <w:tcBorders>
              <w:tl2br w:val="nil"/>
              <w:tr2bl w:val="nil"/>
            </w:tcBorders>
            <w:shd w:val="clear" w:color="auto" w:fill="auto"/>
            <w:vAlign w:val="top"/>
          </w:tcPr>
          <w:p w14:paraId="6D683DE6">
            <w:pPr>
              <w:pStyle w:val="34"/>
              <w:bidi w:val="0"/>
              <w:rPr>
                <w:rFonts w:hint="default"/>
                <w:color w:val="auto"/>
                <w:lang w:val="en-US" w:eastAsia="zh-CN"/>
              </w:rPr>
            </w:pPr>
            <w:r>
              <w:rPr>
                <w:color w:val="auto"/>
              </w:rPr>
              <w:t>97</w:t>
            </w:r>
          </w:p>
        </w:tc>
        <w:tc>
          <w:tcPr>
            <w:tcW w:w="1155" w:type="dxa"/>
            <w:tcBorders>
              <w:tl2br w:val="nil"/>
              <w:tr2bl w:val="nil"/>
            </w:tcBorders>
            <w:shd w:val="clear" w:color="auto" w:fill="auto"/>
            <w:vAlign w:val="top"/>
          </w:tcPr>
          <w:p w14:paraId="2C92E5DF">
            <w:pPr>
              <w:pStyle w:val="34"/>
              <w:bidi w:val="0"/>
              <w:rPr>
                <w:color w:val="auto"/>
              </w:rPr>
            </w:pPr>
          </w:p>
        </w:tc>
        <w:tc>
          <w:tcPr>
            <w:tcW w:w="915" w:type="dxa"/>
            <w:tcBorders>
              <w:tl2br w:val="nil"/>
              <w:tr2bl w:val="nil"/>
            </w:tcBorders>
            <w:shd w:val="clear" w:color="auto" w:fill="auto"/>
            <w:vAlign w:val="top"/>
          </w:tcPr>
          <w:p w14:paraId="4F7C1A2D">
            <w:pPr>
              <w:pStyle w:val="34"/>
              <w:bidi w:val="0"/>
              <w:rPr>
                <w:color w:val="auto"/>
              </w:rPr>
            </w:pPr>
          </w:p>
        </w:tc>
        <w:tc>
          <w:tcPr>
            <w:tcW w:w="780" w:type="dxa"/>
            <w:tcBorders>
              <w:tl2br w:val="nil"/>
              <w:tr2bl w:val="nil"/>
            </w:tcBorders>
            <w:shd w:val="clear" w:color="auto" w:fill="auto"/>
            <w:vAlign w:val="top"/>
          </w:tcPr>
          <w:p w14:paraId="7179AAA1">
            <w:pPr>
              <w:pStyle w:val="34"/>
              <w:bidi w:val="0"/>
              <w:rPr>
                <w:rFonts w:hint="eastAsia"/>
                <w:color w:val="auto"/>
              </w:rPr>
            </w:pPr>
            <w:r>
              <w:rPr>
                <w:color w:val="auto"/>
              </w:rPr>
              <w:t>-</w:t>
            </w:r>
          </w:p>
        </w:tc>
        <w:tc>
          <w:tcPr>
            <w:tcW w:w="780" w:type="dxa"/>
            <w:tcBorders>
              <w:tl2br w:val="nil"/>
              <w:tr2bl w:val="nil"/>
            </w:tcBorders>
            <w:shd w:val="clear" w:color="auto" w:fill="auto"/>
            <w:vAlign w:val="top"/>
          </w:tcPr>
          <w:p w14:paraId="59AAFA0D">
            <w:pPr>
              <w:pStyle w:val="34"/>
              <w:bidi w:val="0"/>
              <w:rPr>
                <w:rFonts w:hint="eastAsia"/>
                <w:color w:val="auto"/>
              </w:rPr>
            </w:pPr>
            <w:r>
              <w:rPr>
                <w:color w:val="auto"/>
              </w:rPr>
              <w:t>97</w:t>
            </w:r>
          </w:p>
        </w:tc>
        <w:tc>
          <w:tcPr>
            <w:tcW w:w="900" w:type="dxa"/>
            <w:tcBorders>
              <w:tl2br w:val="nil"/>
              <w:tr2bl w:val="nil"/>
            </w:tcBorders>
            <w:shd w:val="clear" w:color="auto" w:fill="auto"/>
            <w:vAlign w:val="top"/>
          </w:tcPr>
          <w:p w14:paraId="4E749E55">
            <w:pPr>
              <w:pStyle w:val="34"/>
              <w:bidi w:val="0"/>
              <w:rPr>
                <w:color w:val="auto"/>
              </w:rPr>
            </w:pPr>
            <w:r>
              <w:rPr>
                <w:color w:val="auto"/>
              </w:rPr>
              <w:t>-</w:t>
            </w:r>
          </w:p>
        </w:tc>
        <w:tc>
          <w:tcPr>
            <w:tcW w:w="989" w:type="dxa"/>
            <w:tcBorders>
              <w:tl2br w:val="nil"/>
              <w:tr2bl w:val="nil"/>
            </w:tcBorders>
            <w:shd w:val="clear" w:color="auto" w:fill="auto"/>
            <w:vAlign w:val="top"/>
          </w:tcPr>
          <w:p w14:paraId="604C75F9">
            <w:pPr>
              <w:pStyle w:val="34"/>
              <w:bidi w:val="0"/>
              <w:rPr>
                <w:rFonts w:hint="default"/>
                <w:color w:val="auto"/>
                <w:lang w:val="en-US" w:eastAsia="zh-CN"/>
              </w:rPr>
            </w:pPr>
            <w:r>
              <w:rPr>
                <w:color w:val="auto"/>
              </w:rPr>
              <w:t>97</w:t>
            </w:r>
          </w:p>
        </w:tc>
      </w:tr>
      <w:tr w14:paraId="5297AF86">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306" w:hRule="atLeast"/>
          <w:jc w:val="center"/>
        </w:trPr>
        <w:tc>
          <w:tcPr>
            <w:tcW w:w="1905" w:type="dxa"/>
            <w:tcBorders>
              <w:tl2br w:val="nil"/>
              <w:tr2bl w:val="nil"/>
            </w:tcBorders>
            <w:shd w:val="clear" w:color="auto" w:fill="auto"/>
            <w:vAlign w:val="center"/>
          </w:tcPr>
          <w:p w14:paraId="5250313F">
            <w:pPr>
              <w:pStyle w:val="34"/>
              <w:rPr>
                <w:color w:val="auto"/>
              </w:rPr>
            </w:pPr>
            <w:r>
              <w:rPr>
                <w:rFonts w:hint="eastAsia"/>
                <w:color w:val="auto"/>
              </w:rPr>
              <w:t>土壤流失控制比</w:t>
            </w:r>
          </w:p>
        </w:tc>
        <w:tc>
          <w:tcPr>
            <w:tcW w:w="795" w:type="dxa"/>
            <w:tcBorders>
              <w:tl2br w:val="nil"/>
              <w:tr2bl w:val="nil"/>
            </w:tcBorders>
            <w:shd w:val="clear" w:color="auto" w:fill="auto"/>
            <w:vAlign w:val="top"/>
          </w:tcPr>
          <w:p w14:paraId="5B2BA933">
            <w:pPr>
              <w:pStyle w:val="34"/>
              <w:bidi w:val="0"/>
              <w:rPr>
                <w:color w:val="auto"/>
              </w:rPr>
            </w:pPr>
            <w:r>
              <w:rPr>
                <w:color w:val="auto"/>
              </w:rPr>
              <w:t>-</w:t>
            </w:r>
          </w:p>
        </w:tc>
        <w:tc>
          <w:tcPr>
            <w:tcW w:w="795" w:type="dxa"/>
            <w:tcBorders>
              <w:tl2br w:val="nil"/>
              <w:tr2bl w:val="nil"/>
            </w:tcBorders>
            <w:shd w:val="clear" w:color="auto" w:fill="auto"/>
            <w:vAlign w:val="top"/>
          </w:tcPr>
          <w:p w14:paraId="2AA10C0D">
            <w:pPr>
              <w:pStyle w:val="34"/>
              <w:bidi w:val="0"/>
              <w:rPr>
                <w:rFonts w:hint="default"/>
                <w:color w:val="auto"/>
                <w:lang w:val="en-US" w:eastAsia="zh-CN"/>
              </w:rPr>
            </w:pPr>
            <w:r>
              <w:rPr>
                <w:color w:val="auto"/>
              </w:rPr>
              <w:t>0.85</w:t>
            </w:r>
          </w:p>
        </w:tc>
        <w:tc>
          <w:tcPr>
            <w:tcW w:w="1155" w:type="dxa"/>
            <w:tcBorders>
              <w:tl2br w:val="nil"/>
              <w:tr2bl w:val="nil"/>
            </w:tcBorders>
            <w:shd w:val="clear" w:color="auto" w:fill="auto"/>
            <w:vAlign w:val="top"/>
          </w:tcPr>
          <w:p w14:paraId="24A17C61">
            <w:pPr>
              <w:pStyle w:val="34"/>
              <w:bidi w:val="0"/>
              <w:rPr>
                <w:color w:val="auto"/>
              </w:rPr>
            </w:pPr>
          </w:p>
        </w:tc>
        <w:tc>
          <w:tcPr>
            <w:tcW w:w="915" w:type="dxa"/>
            <w:tcBorders>
              <w:tl2br w:val="nil"/>
              <w:tr2bl w:val="nil"/>
            </w:tcBorders>
            <w:shd w:val="clear" w:color="auto" w:fill="auto"/>
            <w:vAlign w:val="top"/>
          </w:tcPr>
          <w:p w14:paraId="177AE9E5">
            <w:pPr>
              <w:pStyle w:val="34"/>
              <w:bidi w:val="0"/>
              <w:rPr>
                <w:rFonts w:hint="default"/>
                <w:color w:val="auto"/>
                <w:lang w:val="en-US" w:eastAsia="zh-CN"/>
              </w:rPr>
            </w:pPr>
            <w:r>
              <w:rPr>
                <w:color w:val="auto"/>
              </w:rPr>
              <w:t>+0.82</w:t>
            </w:r>
          </w:p>
        </w:tc>
        <w:tc>
          <w:tcPr>
            <w:tcW w:w="780" w:type="dxa"/>
            <w:tcBorders>
              <w:tl2br w:val="nil"/>
              <w:tr2bl w:val="nil"/>
            </w:tcBorders>
            <w:shd w:val="clear" w:color="auto" w:fill="auto"/>
            <w:vAlign w:val="top"/>
          </w:tcPr>
          <w:p w14:paraId="383DDD1C">
            <w:pPr>
              <w:pStyle w:val="34"/>
              <w:bidi w:val="0"/>
              <w:rPr>
                <w:color w:val="auto"/>
              </w:rPr>
            </w:pPr>
            <w:r>
              <w:rPr>
                <w:color w:val="auto"/>
              </w:rPr>
              <w:t>-</w:t>
            </w:r>
          </w:p>
        </w:tc>
        <w:tc>
          <w:tcPr>
            <w:tcW w:w="780" w:type="dxa"/>
            <w:tcBorders>
              <w:tl2br w:val="nil"/>
              <w:tr2bl w:val="nil"/>
            </w:tcBorders>
            <w:shd w:val="clear" w:color="auto" w:fill="auto"/>
            <w:vAlign w:val="top"/>
          </w:tcPr>
          <w:p w14:paraId="53332948">
            <w:pPr>
              <w:pStyle w:val="34"/>
              <w:bidi w:val="0"/>
              <w:rPr>
                <w:color w:val="auto"/>
              </w:rPr>
            </w:pPr>
            <w:r>
              <w:rPr>
                <w:color w:val="auto"/>
              </w:rPr>
              <w:t>1.67</w:t>
            </w:r>
          </w:p>
        </w:tc>
        <w:tc>
          <w:tcPr>
            <w:tcW w:w="900" w:type="dxa"/>
            <w:tcBorders>
              <w:tl2br w:val="nil"/>
              <w:tr2bl w:val="nil"/>
            </w:tcBorders>
            <w:shd w:val="clear" w:color="auto" w:fill="auto"/>
            <w:vAlign w:val="top"/>
          </w:tcPr>
          <w:p w14:paraId="4AF6D5E8">
            <w:pPr>
              <w:pStyle w:val="34"/>
              <w:bidi w:val="0"/>
              <w:rPr>
                <w:color w:val="auto"/>
              </w:rPr>
            </w:pPr>
            <w:r>
              <w:rPr>
                <w:color w:val="auto"/>
              </w:rPr>
              <w:t>-</w:t>
            </w:r>
          </w:p>
        </w:tc>
        <w:tc>
          <w:tcPr>
            <w:tcW w:w="989" w:type="dxa"/>
            <w:tcBorders>
              <w:tl2br w:val="nil"/>
              <w:tr2bl w:val="nil"/>
            </w:tcBorders>
            <w:shd w:val="clear" w:color="auto" w:fill="auto"/>
            <w:vAlign w:val="top"/>
          </w:tcPr>
          <w:p w14:paraId="414EF7EB">
            <w:pPr>
              <w:pStyle w:val="34"/>
              <w:bidi w:val="0"/>
              <w:rPr>
                <w:rFonts w:hint="default" w:eastAsia="仿宋_GB2312"/>
                <w:color w:val="auto"/>
                <w:lang w:val="en-US" w:eastAsia="zh-CN"/>
              </w:rPr>
            </w:pPr>
            <w:r>
              <w:rPr>
                <w:rFonts w:hint="eastAsia"/>
                <w:color w:val="auto"/>
                <w:lang w:val="en-US" w:eastAsia="zh-CN"/>
              </w:rPr>
              <w:t>1.67</w:t>
            </w:r>
          </w:p>
        </w:tc>
      </w:tr>
      <w:tr w14:paraId="14D82C66">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306" w:hRule="atLeast"/>
          <w:jc w:val="center"/>
        </w:trPr>
        <w:tc>
          <w:tcPr>
            <w:tcW w:w="1905" w:type="dxa"/>
            <w:tcBorders>
              <w:tl2br w:val="nil"/>
              <w:tr2bl w:val="nil"/>
            </w:tcBorders>
            <w:shd w:val="clear" w:color="auto" w:fill="auto"/>
            <w:vAlign w:val="center"/>
          </w:tcPr>
          <w:p w14:paraId="1ABC9416">
            <w:pPr>
              <w:pStyle w:val="34"/>
              <w:rPr>
                <w:color w:val="auto"/>
              </w:rPr>
            </w:pPr>
            <w:r>
              <w:rPr>
                <w:rFonts w:hint="eastAsia"/>
                <w:color w:val="auto"/>
              </w:rPr>
              <w:t>渣土防护率（%）</w:t>
            </w:r>
          </w:p>
        </w:tc>
        <w:tc>
          <w:tcPr>
            <w:tcW w:w="795" w:type="dxa"/>
            <w:tcBorders>
              <w:tl2br w:val="nil"/>
              <w:tr2bl w:val="nil"/>
            </w:tcBorders>
            <w:shd w:val="clear" w:color="auto" w:fill="auto"/>
            <w:vAlign w:val="top"/>
          </w:tcPr>
          <w:p w14:paraId="2B6AA98B">
            <w:pPr>
              <w:pStyle w:val="34"/>
              <w:bidi w:val="0"/>
              <w:rPr>
                <w:rFonts w:hint="default"/>
                <w:color w:val="auto"/>
                <w:lang w:val="en-US" w:eastAsia="zh-CN"/>
              </w:rPr>
            </w:pPr>
            <w:r>
              <w:rPr>
                <w:color w:val="auto"/>
              </w:rPr>
              <w:t>90</w:t>
            </w:r>
          </w:p>
        </w:tc>
        <w:tc>
          <w:tcPr>
            <w:tcW w:w="795" w:type="dxa"/>
            <w:tcBorders>
              <w:tl2br w:val="nil"/>
              <w:tr2bl w:val="nil"/>
            </w:tcBorders>
            <w:shd w:val="clear" w:color="auto" w:fill="auto"/>
            <w:vAlign w:val="top"/>
          </w:tcPr>
          <w:p w14:paraId="70CFB92D">
            <w:pPr>
              <w:pStyle w:val="34"/>
              <w:bidi w:val="0"/>
              <w:rPr>
                <w:rFonts w:hint="default"/>
                <w:color w:val="auto"/>
                <w:lang w:val="en-US" w:eastAsia="zh-CN"/>
              </w:rPr>
            </w:pPr>
            <w:r>
              <w:rPr>
                <w:color w:val="auto"/>
              </w:rPr>
              <w:t>92</w:t>
            </w:r>
          </w:p>
        </w:tc>
        <w:tc>
          <w:tcPr>
            <w:tcW w:w="1155" w:type="dxa"/>
            <w:tcBorders>
              <w:tl2br w:val="nil"/>
              <w:tr2bl w:val="nil"/>
            </w:tcBorders>
            <w:shd w:val="clear" w:color="auto" w:fill="auto"/>
            <w:vAlign w:val="top"/>
          </w:tcPr>
          <w:p w14:paraId="2B933927">
            <w:pPr>
              <w:pStyle w:val="34"/>
              <w:bidi w:val="0"/>
              <w:rPr>
                <w:color w:val="auto"/>
              </w:rPr>
            </w:pPr>
          </w:p>
        </w:tc>
        <w:tc>
          <w:tcPr>
            <w:tcW w:w="915" w:type="dxa"/>
            <w:tcBorders>
              <w:tl2br w:val="nil"/>
              <w:tr2bl w:val="nil"/>
            </w:tcBorders>
            <w:shd w:val="clear" w:color="auto" w:fill="auto"/>
            <w:vAlign w:val="top"/>
          </w:tcPr>
          <w:p w14:paraId="68D24DE6">
            <w:pPr>
              <w:pStyle w:val="34"/>
              <w:bidi w:val="0"/>
              <w:rPr>
                <w:color w:val="auto"/>
              </w:rPr>
            </w:pPr>
          </w:p>
        </w:tc>
        <w:tc>
          <w:tcPr>
            <w:tcW w:w="780" w:type="dxa"/>
            <w:tcBorders>
              <w:tl2br w:val="nil"/>
              <w:tr2bl w:val="nil"/>
            </w:tcBorders>
            <w:shd w:val="clear" w:color="auto" w:fill="auto"/>
            <w:vAlign w:val="top"/>
          </w:tcPr>
          <w:p w14:paraId="23DAA19D">
            <w:pPr>
              <w:pStyle w:val="34"/>
              <w:bidi w:val="0"/>
              <w:rPr>
                <w:rFonts w:hint="default"/>
                <w:color w:val="auto"/>
                <w:lang w:val="en-US" w:eastAsia="zh-CN"/>
              </w:rPr>
            </w:pPr>
            <w:r>
              <w:rPr>
                <w:rFonts w:hint="eastAsia"/>
                <w:color w:val="auto"/>
                <w:lang w:val="en-US" w:eastAsia="zh-CN"/>
              </w:rPr>
              <w:t>+2</w:t>
            </w:r>
          </w:p>
        </w:tc>
        <w:tc>
          <w:tcPr>
            <w:tcW w:w="780" w:type="dxa"/>
            <w:tcBorders>
              <w:tl2br w:val="nil"/>
              <w:tr2bl w:val="nil"/>
            </w:tcBorders>
            <w:shd w:val="clear" w:color="auto" w:fill="auto"/>
            <w:vAlign w:val="top"/>
          </w:tcPr>
          <w:p w14:paraId="443A80FE">
            <w:pPr>
              <w:pStyle w:val="34"/>
              <w:bidi w:val="0"/>
              <w:rPr>
                <w:rFonts w:hint="eastAsia" w:eastAsia="仿宋_GB2312"/>
                <w:color w:val="auto"/>
                <w:lang w:val="en-US" w:eastAsia="zh-CN"/>
              </w:rPr>
            </w:pPr>
            <w:r>
              <w:rPr>
                <w:color w:val="auto"/>
              </w:rPr>
              <w:t>9</w:t>
            </w:r>
            <w:r>
              <w:rPr>
                <w:rFonts w:hint="eastAsia"/>
                <w:color w:val="auto"/>
                <w:lang w:val="en-US" w:eastAsia="zh-CN"/>
              </w:rPr>
              <w:t>4</w:t>
            </w:r>
          </w:p>
        </w:tc>
        <w:tc>
          <w:tcPr>
            <w:tcW w:w="900" w:type="dxa"/>
            <w:tcBorders>
              <w:tl2br w:val="nil"/>
              <w:tr2bl w:val="nil"/>
            </w:tcBorders>
            <w:shd w:val="clear" w:color="auto" w:fill="auto"/>
            <w:vAlign w:val="top"/>
          </w:tcPr>
          <w:p w14:paraId="0C40F84C">
            <w:pPr>
              <w:pStyle w:val="34"/>
              <w:bidi w:val="0"/>
              <w:rPr>
                <w:rFonts w:hint="eastAsia" w:eastAsia="仿宋_GB2312"/>
                <w:color w:val="auto"/>
                <w:lang w:val="en-US" w:eastAsia="zh-CN"/>
              </w:rPr>
            </w:pPr>
            <w:r>
              <w:rPr>
                <w:color w:val="auto"/>
              </w:rPr>
              <w:t>9</w:t>
            </w:r>
            <w:r>
              <w:rPr>
                <w:rFonts w:hint="eastAsia"/>
                <w:color w:val="auto"/>
                <w:lang w:val="en-US" w:eastAsia="zh-CN"/>
              </w:rPr>
              <w:t>2</w:t>
            </w:r>
          </w:p>
        </w:tc>
        <w:tc>
          <w:tcPr>
            <w:tcW w:w="989" w:type="dxa"/>
            <w:tcBorders>
              <w:tl2br w:val="nil"/>
              <w:tr2bl w:val="nil"/>
            </w:tcBorders>
            <w:shd w:val="clear" w:color="auto" w:fill="auto"/>
            <w:vAlign w:val="top"/>
          </w:tcPr>
          <w:p w14:paraId="4495ECCE">
            <w:pPr>
              <w:pStyle w:val="34"/>
              <w:bidi w:val="0"/>
              <w:rPr>
                <w:rFonts w:hint="eastAsia" w:eastAsia="仿宋_GB2312"/>
                <w:color w:val="auto"/>
                <w:lang w:val="en-US" w:eastAsia="zh-CN"/>
              </w:rPr>
            </w:pPr>
            <w:r>
              <w:rPr>
                <w:color w:val="auto"/>
              </w:rPr>
              <w:t>9</w:t>
            </w:r>
            <w:r>
              <w:rPr>
                <w:rFonts w:hint="eastAsia"/>
                <w:color w:val="auto"/>
                <w:lang w:val="en-US" w:eastAsia="zh-CN"/>
              </w:rPr>
              <w:t>4</w:t>
            </w:r>
          </w:p>
        </w:tc>
      </w:tr>
      <w:tr w14:paraId="1D285F97">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306" w:hRule="atLeast"/>
          <w:jc w:val="center"/>
        </w:trPr>
        <w:tc>
          <w:tcPr>
            <w:tcW w:w="1905" w:type="dxa"/>
            <w:tcBorders>
              <w:tl2br w:val="nil"/>
              <w:tr2bl w:val="nil"/>
            </w:tcBorders>
            <w:shd w:val="clear" w:color="auto" w:fill="auto"/>
            <w:vAlign w:val="center"/>
          </w:tcPr>
          <w:p w14:paraId="2EA0285A">
            <w:pPr>
              <w:pStyle w:val="34"/>
              <w:rPr>
                <w:color w:val="auto"/>
              </w:rPr>
            </w:pPr>
            <w:r>
              <w:rPr>
                <w:rFonts w:hint="eastAsia"/>
                <w:color w:val="auto"/>
              </w:rPr>
              <w:t>表土保护率（%）</w:t>
            </w:r>
          </w:p>
        </w:tc>
        <w:tc>
          <w:tcPr>
            <w:tcW w:w="795" w:type="dxa"/>
            <w:tcBorders>
              <w:tl2br w:val="nil"/>
              <w:tr2bl w:val="nil"/>
            </w:tcBorders>
            <w:shd w:val="clear" w:color="auto" w:fill="auto"/>
            <w:vAlign w:val="center"/>
          </w:tcPr>
          <w:p w14:paraId="79CA979C">
            <w:pPr>
              <w:pStyle w:val="34"/>
              <w:ind w:firstLine="0" w:firstLineChars="0"/>
              <w:rPr>
                <w:rFonts w:hint="default" w:eastAsia="仿宋_GB2312"/>
                <w:color w:val="auto"/>
                <w:lang w:val="en-US" w:eastAsia="zh-CN"/>
              </w:rPr>
            </w:pPr>
            <w:r>
              <w:rPr>
                <w:rFonts w:hint="eastAsia" w:eastAsia="宋体"/>
                <w:color w:val="auto"/>
                <w:lang w:val="en-US" w:eastAsia="zh-CN"/>
              </w:rPr>
              <w:t>92</w:t>
            </w:r>
          </w:p>
        </w:tc>
        <w:tc>
          <w:tcPr>
            <w:tcW w:w="795" w:type="dxa"/>
            <w:tcBorders>
              <w:tl2br w:val="nil"/>
              <w:tr2bl w:val="nil"/>
            </w:tcBorders>
            <w:shd w:val="clear" w:color="auto" w:fill="auto"/>
            <w:vAlign w:val="center"/>
          </w:tcPr>
          <w:p w14:paraId="35485A8E">
            <w:pPr>
              <w:pStyle w:val="34"/>
              <w:ind w:firstLine="0" w:firstLineChars="0"/>
              <w:rPr>
                <w:rFonts w:hint="default" w:eastAsia="仿宋_GB2312"/>
                <w:color w:val="auto"/>
                <w:lang w:val="en-US" w:eastAsia="zh-CN"/>
              </w:rPr>
            </w:pPr>
            <w:r>
              <w:rPr>
                <w:rFonts w:hint="eastAsia"/>
                <w:color w:val="auto"/>
                <w:lang w:val="en-US" w:eastAsia="zh-CN"/>
              </w:rPr>
              <w:t>92</w:t>
            </w:r>
          </w:p>
        </w:tc>
        <w:tc>
          <w:tcPr>
            <w:tcW w:w="1155" w:type="dxa"/>
            <w:tcBorders>
              <w:tl2br w:val="nil"/>
              <w:tr2bl w:val="nil"/>
            </w:tcBorders>
            <w:shd w:val="clear" w:color="auto" w:fill="auto"/>
            <w:vAlign w:val="center"/>
          </w:tcPr>
          <w:p w14:paraId="2F7011C6">
            <w:pPr>
              <w:pStyle w:val="34"/>
              <w:rPr>
                <w:color w:val="auto"/>
              </w:rPr>
            </w:pPr>
            <w:r>
              <w:rPr>
                <w:rFonts w:hint="eastAsia"/>
                <w:color w:val="auto"/>
              </w:rPr>
              <w:t>-</w:t>
            </w:r>
          </w:p>
        </w:tc>
        <w:tc>
          <w:tcPr>
            <w:tcW w:w="915" w:type="dxa"/>
            <w:tcBorders>
              <w:tl2br w:val="nil"/>
              <w:tr2bl w:val="nil"/>
            </w:tcBorders>
            <w:shd w:val="clear" w:color="auto" w:fill="auto"/>
            <w:vAlign w:val="center"/>
          </w:tcPr>
          <w:p w14:paraId="1782A573">
            <w:pPr>
              <w:pStyle w:val="34"/>
              <w:rPr>
                <w:color w:val="auto"/>
              </w:rPr>
            </w:pPr>
            <w:r>
              <w:rPr>
                <w:rFonts w:hint="eastAsia"/>
                <w:color w:val="auto"/>
              </w:rPr>
              <w:t>-</w:t>
            </w:r>
          </w:p>
        </w:tc>
        <w:tc>
          <w:tcPr>
            <w:tcW w:w="780" w:type="dxa"/>
            <w:tcBorders>
              <w:tl2br w:val="nil"/>
              <w:tr2bl w:val="nil"/>
            </w:tcBorders>
            <w:shd w:val="clear" w:color="auto" w:fill="auto"/>
            <w:vAlign w:val="center"/>
          </w:tcPr>
          <w:p w14:paraId="38BD2A8C">
            <w:pPr>
              <w:pStyle w:val="34"/>
              <w:rPr>
                <w:rFonts w:hint="eastAsia"/>
                <w:color w:val="auto"/>
              </w:rPr>
            </w:pPr>
            <w:r>
              <w:rPr>
                <w:rFonts w:hint="eastAsia"/>
                <w:color w:val="auto"/>
                <w:lang w:val="en-US" w:eastAsia="zh-CN"/>
              </w:rPr>
              <w:t>-</w:t>
            </w:r>
          </w:p>
        </w:tc>
        <w:tc>
          <w:tcPr>
            <w:tcW w:w="780" w:type="dxa"/>
            <w:tcBorders>
              <w:tl2br w:val="nil"/>
              <w:tr2bl w:val="nil"/>
            </w:tcBorders>
            <w:shd w:val="clear" w:color="auto" w:fill="auto"/>
            <w:vAlign w:val="center"/>
          </w:tcPr>
          <w:p w14:paraId="4E082DFF">
            <w:pPr>
              <w:pStyle w:val="34"/>
              <w:rPr>
                <w:rFonts w:hint="default" w:eastAsia="仿宋_GB2312"/>
                <w:color w:val="auto"/>
                <w:lang w:val="en-US" w:eastAsia="zh-CN"/>
              </w:rPr>
            </w:pPr>
            <w:r>
              <w:rPr>
                <w:rFonts w:hint="eastAsia"/>
                <w:color w:val="auto"/>
                <w:lang w:val="en-US" w:eastAsia="zh-CN"/>
              </w:rPr>
              <w:t>-</w:t>
            </w:r>
          </w:p>
        </w:tc>
        <w:tc>
          <w:tcPr>
            <w:tcW w:w="900" w:type="dxa"/>
            <w:tcBorders>
              <w:tl2br w:val="nil"/>
              <w:tr2bl w:val="nil"/>
            </w:tcBorders>
            <w:shd w:val="clear" w:color="auto" w:fill="auto"/>
            <w:vAlign w:val="center"/>
          </w:tcPr>
          <w:p w14:paraId="7E5E3C10">
            <w:pPr>
              <w:pStyle w:val="34"/>
              <w:rPr>
                <w:rFonts w:hint="default" w:eastAsia="仿宋_GB2312"/>
                <w:color w:val="auto"/>
                <w:lang w:val="en-US" w:eastAsia="zh-CN"/>
              </w:rPr>
            </w:pPr>
          </w:p>
        </w:tc>
        <w:tc>
          <w:tcPr>
            <w:tcW w:w="989" w:type="dxa"/>
            <w:tcBorders>
              <w:tl2br w:val="nil"/>
              <w:tr2bl w:val="nil"/>
            </w:tcBorders>
            <w:shd w:val="clear" w:color="auto" w:fill="auto"/>
            <w:vAlign w:val="center"/>
          </w:tcPr>
          <w:p w14:paraId="2AAD8411">
            <w:pPr>
              <w:pStyle w:val="34"/>
              <w:bidi w:val="0"/>
              <w:ind w:firstLine="0" w:firstLineChars="0"/>
              <w:rPr>
                <w:rFonts w:hint="default" w:eastAsia="仿宋_GB2312"/>
                <w:color w:val="auto"/>
                <w:lang w:val="en-US" w:eastAsia="zh-CN"/>
              </w:rPr>
            </w:pPr>
            <w:r>
              <w:rPr>
                <w:rFonts w:hint="default"/>
                <w:color w:val="auto"/>
                <w:lang w:val="en-US" w:eastAsia="zh-CN"/>
              </w:rPr>
              <w:t>—</w:t>
            </w:r>
          </w:p>
        </w:tc>
      </w:tr>
      <w:tr w14:paraId="45C90FF5">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306" w:hRule="atLeast"/>
          <w:jc w:val="center"/>
        </w:trPr>
        <w:tc>
          <w:tcPr>
            <w:tcW w:w="1905" w:type="dxa"/>
            <w:tcBorders>
              <w:tl2br w:val="nil"/>
              <w:tr2bl w:val="nil"/>
            </w:tcBorders>
            <w:shd w:val="clear" w:color="auto" w:fill="auto"/>
            <w:vAlign w:val="center"/>
          </w:tcPr>
          <w:p w14:paraId="53593340">
            <w:pPr>
              <w:pStyle w:val="34"/>
              <w:rPr>
                <w:color w:val="auto"/>
              </w:rPr>
            </w:pPr>
            <w:r>
              <w:rPr>
                <w:rFonts w:hint="eastAsia"/>
                <w:color w:val="auto"/>
              </w:rPr>
              <w:t>林草植被恢复率（%）</w:t>
            </w:r>
          </w:p>
        </w:tc>
        <w:tc>
          <w:tcPr>
            <w:tcW w:w="795" w:type="dxa"/>
            <w:tcBorders>
              <w:tl2br w:val="nil"/>
              <w:tr2bl w:val="nil"/>
            </w:tcBorders>
            <w:shd w:val="clear" w:color="auto" w:fill="auto"/>
            <w:vAlign w:val="center"/>
          </w:tcPr>
          <w:p w14:paraId="50EC7E83">
            <w:pPr>
              <w:pStyle w:val="34"/>
              <w:ind w:firstLine="0" w:firstLineChars="0"/>
              <w:rPr>
                <w:color w:val="auto"/>
              </w:rPr>
            </w:pPr>
            <w:r>
              <w:rPr>
                <w:rFonts w:hint="eastAsia"/>
                <w:color w:val="auto"/>
              </w:rPr>
              <w:t>-</w:t>
            </w:r>
          </w:p>
        </w:tc>
        <w:tc>
          <w:tcPr>
            <w:tcW w:w="795" w:type="dxa"/>
            <w:tcBorders>
              <w:tl2br w:val="nil"/>
              <w:tr2bl w:val="nil"/>
            </w:tcBorders>
            <w:shd w:val="clear" w:color="auto" w:fill="auto"/>
            <w:vAlign w:val="center"/>
          </w:tcPr>
          <w:p w14:paraId="1BF039AB">
            <w:pPr>
              <w:pStyle w:val="34"/>
              <w:ind w:firstLine="0" w:firstLineChars="0"/>
              <w:rPr>
                <w:rFonts w:hint="default" w:eastAsia="仿宋_GB2312"/>
                <w:color w:val="auto"/>
                <w:lang w:val="en-US" w:eastAsia="zh-CN"/>
              </w:rPr>
            </w:pPr>
            <w:r>
              <w:rPr>
                <w:rFonts w:hint="eastAsia"/>
                <w:color w:val="auto"/>
                <w:lang w:val="en-US" w:eastAsia="zh-CN"/>
              </w:rPr>
              <w:t>97</w:t>
            </w:r>
          </w:p>
        </w:tc>
        <w:tc>
          <w:tcPr>
            <w:tcW w:w="1155" w:type="dxa"/>
            <w:tcBorders>
              <w:tl2br w:val="nil"/>
              <w:tr2bl w:val="nil"/>
            </w:tcBorders>
            <w:shd w:val="clear" w:color="auto" w:fill="auto"/>
            <w:vAlign w:val="center"/>
          </w:tcPr>
          <w:p w14:paraId="79A977AC">
            <w:pPr>
              <w:pStyle w:val="34"/>
              <w:rPr>
                <w:color w:val="auto"/>
              </w:rPr>
            </w:pPr>
            <w:r>
              <w:rPr>
                <w:rFonts w:hint="eastAsia"/>
                <w:color w:val="auto"/>
              </w:rPr>
              <w:t>-</w:t>
            </w:r>
          </w:p>
        </w:tc>
        <w:tc>
          <w:tcPr>
            <w:tcW w:w="915" w:type="dxa"/>
            <w:tcBorders>
              <w:tl2br w:val="nil"/>
              <w:tr2bl w:val="nil"/>
            </w:tcBorders>
            <w:shd w:val="clear" w:color="auto" w:fill="auto"/>
            <w:vAlign w:val="center"/>
          </w:tcPr>
          <w:p w14:paraId="11091A8C">
            <w:pPr>
              <w:pStyle w:val="34"/>
              <w:rPr>
                <w:color w:val="auto"/>
              </w:rPr>
            </w:pPr>
            <w:r>
              <w:rPr>
                <w:rFonts w:hint="eastAsia"/>
                <w:color w:val="auto"/>
              </w:rPr>
              <w:t>-</w:t>
            </w:r>
          </w:p>
        </w:tc>
        <w:tc>
          <w:tcPr>
            <w:tcW w:w="780" w:type="dxa"/>
            <w:tcBorders>
              <w:tl2br w:val="nil"/>
              <w:tr2bl w:val="nil"/>
            </w:tcBorders>
            <w:shd w:val="clear" w:color="auto" w:fill="auto"/>
            <w:vAlign w:val="center"/>
          </w:tcPr>
          <w:p w14:paraId="57FE40E7">
            <w:pPr>
              <w:pStyle w:val="34"/>
              <w:rPr>
                <w:rFonts w:hint="eastAsia"/>
                <w:color w:val="auto"/>
              </w:rPr>
            </w:pPr>
            <w:r>
              <w:rPr>
                <w:rFonts w:hint="eastAsia"/>
                <w:color w:val="auto"/>
                <w:lang w:val="en-US" w:eastAsia="zh-CN"/>
              </w:rPr>
              <w:t>-</w:t>
            </w:r>
          </w:p>
        </w:tc>
        <w:tc>
          <w:tcPr>
            <w:tcW w:w="780" w:type="dxa"/>
            <w:tcBorders>
              <w:tl2br w:val="nil"/>
              <w:tr2bl w:val="nil"/>
            </w:tcBorders>
            <w:shd w:val="clear" w:color="auto" w:fill="auto"/>
            <w:vAlign w:val="center"/>
          </w:tcPr>
          <w:p w14:paraId="1730C176">
            <w:pPr>
              <w:pStyle w:val="34"/>
              <w:rPr>
                <w:rFonts w:hint="eastAsia"/>
                <w:color w:val="auto"/>
              </w:rPr>
            </w:pPr>
            <w:r>
              <w:rPr>
                <w:rFonts w:hint="eastAsia"/>
                <w:color w:val="auto"/>
                <w:lang w:val="en-US" w:eastAsia="zh-CN"/>
              </w:rPr>
              <w:t>-</w:t>
            </w:r>
          </w:p>
        </w:tc>
        <w:tc>
          <w:tcPr>
            <w:tcW w:w="900" w:type="dxa"/>
            <w:tcBorders>
              <w:tl2br w:val="nil"/>
              <w:tr2bl w:val="nil"/>
            </w:tcBorders>
            <w:shd w:val="clear" w:color="auto" w:fill="auto"/>
            <w:vAlign w:val="center"/>
          </w:tcPr>
          <w:p w14:paraId="1ACA3B77">
            <w:pPr>
              <w:pStyle w:val="34"/>
              <w:rPr>
                <w:color w:val="auto"/>
              </w:rPr>
            </w:pPr>
            <w:r>
              <w:rPr>
                <w:rFonts w:hint="eastAsia"/>
                <w:color w:val="auto"/>
              </w:rPr>
              <w:t>-</w:t>
            </w:r>
          </w:p>
        </w:tc>
        <w:tc>
          <w:tcPr>
            <w:tcW w:w="989" w:type="dxa"/>
            <w:tcBorders>
              <w:tl2br w:val="nil"/>
              <w:tr2bl w:val="nil"/>
            </w:tcBorders>
            <w:shd w:val="clear" w:color="auto" w:fill="auto"/>
            <w:vAlign w:val="center"/>
          </w:tcPr>
          <w:p w14:paraId="5A5EBA14">
            <w:pPr>
              <w:pStyle w:val="34"/>
              <w:bidi w:val="0"/>
              <w:ind w:firstLine="0" w:firstLineChars="0"/>
              <w:rPr>
                <w:rFonts w:hint="default" w:eastAsia="仿宋_GB2312"/>
                <w:color w:val="auto"/>
                <w:lang w:val="en-US" w:eastAsia="zh-CN"/>
              </w:rPr>
            </w:pPr>
            <w:r>
              <w:rPr>
                <w:rFonts w:hint="default"/>
                <w:color w:val="auto"/>
                <w:lang w:val="en-US" w:eastAsia="zh-CN"/>
              </w:rPr>
              <w:t>—</w:t>
            </w:r>
          </w:p>
        </w:tc>
      </w:tr>
      <w:tr w14:paraId="1ADC7757">
        <w:tblPrEx>
          <w:tblBorders>
            <w:top w:val="single" w:color="auto" w:sz="2" w:space="0"/>
            <w:left w:val="single" w:color="auto" w:sz="4" w:space="0"/>
            <w:bottom w:val="single" w:color="auto" w:sz="2" w:space="0"/>
            <w:right w:val="single" w:color="auto" w:sz="4" w:space="0"/>
            <w:insideH w:val="single" w:color="auto" w:sz="2" w:space="0"/>
            <w:insideV w:val="single" w:color="auto" w:sz="4" w:space="0"/>
          </w:tblBorders>
          <w:tblCellMar>
            <w:top w:w="0" w:type="dxa"/>
            <w:left w:w="108" w:type="dxa"/>
            <w:bottom w:w="0" w:type="dxa"/>
            <w:right w:w="108" w:type="dxa"/>
          </w:tblCellMar>
        </w:tblPrEx>
        <w:trPr>
          <w:trHeight w:val="306" w:hRule="atLeast"/>
          <w:jc w:val="center"/>
        </w:trPr>
        <w:tc>
          <w:tcPr>
            <w:tcW w:w="1905" w:type="dxa"/>
            <w:tcBorders>
              <w:tl2br w:val="nil"/>
              <w:tr2bl w:val="nil"/>
            </w:tcBorders>
            <w:shd w:val="clear" w:color="auto" w:fill="auto"/>
            <w:vAlign w:val="center"/>
          </w:tcPr>
          <w:p w14:paraId="7C7FF7F1">
            <w:pPr>
              <w:pStyle w:val="34"/>
              <w:rPr>
                <w:color w:val="auto"/>
              </w:rPr>
            </w:pPr>
            <w:r>
              <w:rPr>
                <w:rFonts w:hint="eastAsia"/>
                <w:color w:val="auto"/>
              </w:rPr>
              <w:t>林草覆盖率（%）</w:t>
            </w:r>
          </w:p>
        </w:tc>
        <w:tc>
          <w:tcPr>
            <w:tcW w:w="795" w:type="dxa"/>
            <w:tcBorders>
              <w:tl2br w:val="nil"/>
              <w:tr2bl w:val="nil"/>
            </w:tcBorders>
            <w:shd w:val="clear" w:color="auto" w:fill="auto"/>
            <w:vAlign w:val="center"/>
          </w:tcPr>
          <w:p w14:paraId="66BC7FB5">
            <w:pPr>
              <w:pStyle w:val="34"/>
              <w:ind w:firstLine="0" w:firstLineChars="0"/>
              <w:rPr>
                <w:color w:val="auto"/>
              </w:rPr>
            </w:pPr>
            <w:r>
              <w:rPr>
                <w:rFonts w:hint="eastAsia"/>
                <w:color w:val="auto"/>
              </w:rPr>
              <w:t>-</w:t>
            </w:r>
          </w:p>
        </w:tc>
        <w:tc>
          <w:tcPr>
            <w:tcW w:w="795" w:type="dxa"/>
            <w:tcBorders>
              <w:tl2br w:val="nil"/>
              <w:tr2bl w:val="nil"/>
            </w:tcBorders>
            <w:shd w:val="clear" w:color="auto" w:fill="auto"/>
            <w:vAlign w:val="center"/>
          </w:tcPr>
          <w:p w14:paraId="6614E6D6">
            <w:pPr>
              <w:pStyle w:val="34"/>
              <w:ind w:firstLine="0" w:firstLineChars="0"/>
              <w:rPr>
                <w:rFonts w:hint="default" w:eastAsia="仿宋_GB2312"/>
                <w:color w:val="auto"/>
                <w:lang w:val="en-US" w:eastAsia="zh-CN"/>
              </w:rPr>
            </w:pPr>
            <w:r>
              <w:rPr>
                <w:rFonts w:hint="eastAsia"/>
                <w:color w:val="auto"/>
                <w:lang w:val="en-US" w:eastAsia="zh-CN"/>
              </w:rPr>
              <w:t>23</w:t>
            </w:r>
          </w:p>
        </w:tc>
        <w:tc>
          <w:tcPr>
            <w:tcW w:w="1155" w:type="dxa"/>
            <w:tcBorders>
              <w:tl2br w:val="nil"/>
              <w:tr2bl w:val="nil"/>
            </w:tcBorders>
            <w:shd w:val="clear" w:color="auto" w:fill="auto"/>
            <w:vAlign w:val="center"/>
          </w:tcPr>
          <w:p w14:paraId="13762998">
            <w:pPr>
              <w:pStyle w:val="34"/>
              <w:ind w:firstLine="0" w:firstLineChars="0"/>
              <w:rPr>
                <w:rFonts w:hint="default" w:eastAsia="仿宋_GB2312"/>
                <w:color w:val="auto"/>
                <w:lang w:val="en-US" w:eastAsia="zh-CN"/>
              </w:rPr>
            </w:pPr>
            <w:r>
              <w:rPr>
                <w:rFonts w:hint="eastAsia"/>
                <w:color w:val="auto"/>
                <w:lang w:val="en-US" w:eastAsia="zh-CN"/>
              </w:rPr>
              <w:t>-</w:t>
            </w:r>
          </w:p>
        </w:tc>
        <w:tc>
          <w:tcPr>
            <w:tcW w:w="915" w:type="dxa"/>
            <w:tcBorders>
              <w:tl2br w:val="nil"/>
              <w:tr2bl w:val="nil"/>
            </w:tcBorders>
            <w:shd w:val="clear" w:color="auto" w:fill="auto"/>
            <w:vAlign w:val="center"/>
          </w:tcPr>
          <w:p w14:paraId="4B5C587E">
            <w:pPr>
              <w:pStyle w:val="34"/>
              <w:ind w:firstLine="0" w:firstLineChars="0"/>
              <w:rPr>
                <w:color w:val="auto"/>
              </w:rPr>
            </w:pPr>
            <w:r>
              <w:rPr>
                <w:rFonts w:hint="eastAsia"/>
                <w:color w:val="auto"/>
                <w:lang w:val="en-US" w:eastAsia="zh-CN"/>
              </w:rPr>
              <w:t>-</w:t>
            </w:r>
          </w:p>
        </w:tc>
        <w:tc>
          <w:tcPr>
            <w:tcW w:w="780" w:type="dxa"/>
            <w:tcBorders>
              <w:tl2br w:val="nil"/>
              <w:tr2bl w:val="nil"/>
            </w:tcBorders>
            <w:shd w:val="clear" w:color="auto" w:fill="auto"/>
            <w:vAlign w:val="center"/>
          </w:tcPr>
          <w:p w14:paraId="3CF8EEBF">
            <w:pPr>
              <w:pStyle w:val="34"/>
              <w:ind w:firstLine="0" w:firstLineChars="0"/>
              <w:rPr>
                <w:rFonts w:hint="default"/>
                <w:color w:val="auto"/>
                <w:lang w:val="en-US"/>
              </w:rPr>
            </w:pPr>
            <w:r>
              <w:rPr>
                <w:rFonts w:hint="eastAsia"/>
                <w:color w:val="auto"/>
                <w:lang w:val="en-US" w:eastAsia="zh-CN"/>
              </w:rPr>
              <w:t>-</w:t>
            </w:r>
          </w:p>
        </w:tc>
        <w:tc>
          <w:tcPr>
            <w:tcW w:w="780" w:type="dxa"/>
            <w:tcBorders>
              <w:tl2br w:val="nil"/>
              <w:tr2bl w:val="nil"/>
            </w:tcBorders>
            <w:shd w:val="clear" w:color="auto" w:fill="auto"/>
            <w:vAlign w:val="center"/>
          </w:tcPr>
          <w:p w14:paraId="2C907DF6">
            <w:pPr>
              <w:pStyle w:val="34"/>
              <w:ind w:firstLine="0" w:firstLineChars="0"/>
              <w:rPr>
                <w:rFonts w:hint="default" w:eastAsia="仿宋_GB2312"/>
                <w:color w:val="auto"/>
                <w:lang w:val="en-US" w:eastAsia="zh-CN"/>
              </w:rPr>
            </w:pPr>
            <w:r>
              <w:rPr>
                <w:rFonts w:hint="eastAsia"/>
                <w:color w:val="auto"/>
                <w:lang w:val="en-US" w:eastAsia="zh-CN"/>
              </w:rPr>
              <w:t>-</w:t>
            </w:r>
          </w:p>
        </w:tc>
        <w:tc>
          <w:tcPr>
            <w:tcW w:w="900" w:type="dxa"/>
            <w:tcBorders>
              <w:tl2br w:val="nil"/>
              <w:tr2bl w:val="nil"/>
            </w:tcBorders>
            <w:shd w:val="clear" w:color="auto" w:fill="auto"/>
            <w:vAlign w:val="center"/>
          </w:tcPr>
          <w:p w14:paraId="4320F581">
            <w:pPr>
              <w:pStyle w:val="34"/>
              <w:rPr>
                <w:color w:val="auto"/>
              </w:rPr>
            </w:pPr>
            <w:r>
              <w:rPr>
                <w:rFonts w:hint="eastAsia"/>
                <w:color w:val="auto"/>
              </w:rPr>
              <w:t>-</w:t>
            </w:r>
          </w:p>
        </w:tc>
        <w:tc>
          <w:tcPr>
            <w:tcW w:w="989" w:type="dxa"/>
            <w:tcBorders>
              <w:tl2br w:val="nil"/>
              <w:tr2bl w:val="nil"/>
            </w:tcBorders>
            <w:shd w:val="clear" w:color="auto" w:fill="auto"/>
            <w:vAlign w:val="center"/>
          </w:tcPr>
          <w:p w14:paraId="1B5C2354">
            <w:pPr>
              <w:pStyle w:val="34"/>
              <w:bidi w:val="0"/>
              <w:ind w:firstLine="0" w:firstLineChars="0"/>
              <w:rPr>
                <w:rFonts w:hint="default" w:eastAsia="仿宋_GB2312"/>
                <w:color w:val="auto"/>
                <w:lang w:val="en-US" w:eastAsia="zh-CN"/>
              </w:rPr>
            </w:pPr>
            <w:r>
              <w:rPr>
                <w:rFonts w:hint="default"/>
                <w:color w:val="auto"/>
                <w:lang w:val="en-US" w:eastAsia="zh-CN"/>
              </w:rPr>
              <w:t>—</w:t>
            </w:r>
          </w:p>
        </w:tc>
      </w:tr>
    </w:tbl>
    <w:p w14:paraId="42C2FD32">
      <w:pPr>
        <w:pStyle w:val="3"/>
        <w:numPr>
          <w:ilvl w:val="1"/>
          <w:numId w:val="1"/>
        </w:numPr>
        <w:rPr>
          <w:color w:val="auto"/>
          <w:highlight w:val="none"/>
        </w:rPr>
      </w:pPr>
      <w:bookmarkStart w:id="62" w:name="_Toc911"/>
      <w:r>
        <w:rPr>
          <w:rFonts w:hint="eastAsia"/>
          <w:color w:val="auto"/>
          <w:highlight w:val="none"/>
        </w:rPr>
        <w:t>项目水土保持评价结论</w:t>
      </w:r>
      <w:bookmarkEnd w:id="62"/>
    </w:p>
    <w:p w14:paraId="6EC885E2">
      <w:pPr>
        <w:pStyle w:val="5"/>
        <w:numPr>
          <w:ilvl w:val="2"/>
          <w:numId w:val="1"/>
        </w:numPr>
        <w:rPr>
          <w:color w:val="auto"/>
        </w:rPr>
      </w:pPr>
      <w:r>
        <w:rPr>
          <w:rFonts w:hint="eastAsia"/>
          <w:color w:val="auto"/>
        </w:rPr>
        <w:t>主体工程选址（线）评价</w:t>
      </w:r>
    </w:p>
    <w:p w14:paraId="17D52A03">
      <w:pPr>
        <w:bidi w:val="0"/>
        <w:rPr>
          <w:color w:val="auto"/>
        </w:rPr>
      </w:pPr>
      <w:r>
        <w:t>本项目选址不在国家划定的相关敏感区范围内，不属国家文物古迹保护范围， 项目区所在地不属于各级水土流失重点预防区和重点治理区，但项目区位于城区受地域 条件的限制，本项目施工期间优化施工工艺、利用彩钢板控制了施工扰动面积，减少了 地表扰动面积，配套建设了完善的雨水利用和排水设施，这些措施可有效控制可能造成的水土流失；本方案提高了水土流失防治目标，项目施工期间的防治目标可达到方案设</w:t>
      </w:r>
      <w:r>
        <w:rPr>
          <w:color w:val="auto"/>
        </w:rPr>
        <w:t>计的目标值，项目区选址符合水土保持的基本要求。</w:t>
      </w:r>
    </w:p>
    <w:p w14:paraId="05CCFB1A">
      <w:pPr>
        <w:pStyle w:val="5"/>
        <w:numPr>
          <w:ilvl w:val="2"/>
          <w:numId w:val="1"/>
        </w:numPr>
        <w:rPr>
          <w:color w:val="auto"/>
        </w:rPr>
      </w:pPr>
      <w:r>
        <w:rPr>
          <w:rFonts w:hint="eastAsia"/>
          <w:color w:val="auto"/>
        </w:rPr>
        <w:t>建设方案与布局评价</w:t>
      </w:r>
    </w:p>
    <w:p w14:paraId="65225799">
      <w:pPr>
        <w:rPr>
          <w:rFonts w:hint="eastAsia"/>
          <w:color w:val="auto"/>
        </w:rPr>
      </w:pPr>
      <w:r>
        <w:rPr>
          <w:rFonts w:hint="eastAsia"/>
          <w:color w:val="auto"/>
        </w:rPr>
        <w:t>（1）建设方案水土保持分析评价结论</w:t>
      </w:r>
    </w:p>
    <w:p w14:paraId="113A23F8">
      <w:pPr>
        <w:bidi w:val="0"/>
        <w:rPr>
          <w:color w:val="auto"/>
        </w:rPr>
      </w:pPr>
      <w:r>
        <w:rPr>
          <w:color w:val="auto"/>
        </w:rPr>
        <w:t>本工程为点型工程，通过查阅主体设计平面图，本工程平面布局紧凑，充分利用了工程的占地范围，利用现有的场地进行移挖作填，工程区已与</w:t>
      </w:r>
      <w:r>
        <w:rPr>
          <w:rFonts w:hint="eastAsia"/>
          <w:color w:val="auto"/>
          <w:lang w:val="en-US" w:eastAsia="zh-CN"/>
        </w:rPr>
        <w:t>周边</w:t>
      </w:r>
      <w:r>
        <w:rPr>
          <w:color w:val="auto"/>
        </w:rPr>
        <w:t>道路联通，交通便利，无需修筑施工便道等，减少了临时占地，符合水土保持要求。</w:t>
      </w:r>
    </w:p>
    <w:p w14:paraId="5F5056BD">
      <w:pPr>
        <w:bidi w:val="0"/>
        <w:rPr>
          <w:rFonts w:hint="eastAsia"/>
          <w:color w:val="auto"/>
        </w:rPr>
      </w:pPr>
      <w:r>
        <w:rPr>
          <w:rFonts w:hint="eastAsia"/>
          <w:color w:val="auto"/>
        </w:rPr>
        <w:t>本项目区所在地不属于各级水土流失重点预防区和重点治理区，但项目区位于城区受地域条件的限制，必须采取严格的防治措施，优化施工工艺，以便控制施工过程中的人为水土流失，水土流失按西南紫色土区水土流失防治一级标准执行。</w:t>
      </w:r>
    </w:p>
    <w:p w14:paraId="0D7435C8">
      <w:pPr>
        <w:bidi w:val="0"/>
        <w:rPr>
          <w:color w:val="auto"/>
        </w:rPr>
      </w:pPr>
      <w:r>
        <w:rPr>
          <w:color w:val="auto"/>
        </w:rPr>
        <w:t>工程仅在场地范围区域进行建筑基础开挖，土石方挖填平衡，不涉及取、弃土场。从水土保持角度讲，工程建设方案与布局基本合理，符合水土保持要求。本项目在建设时期，充分考虑了工程占地，通过对工程占地和施工土石方的控制并提高相应标准，在很大程度上</w:t>
      </w:r>
      <w:r>
        <w:rPr>
          <w:rFonts w:hint="eastAsia"/>
          <w:color w:val="auto"/>
          <w:lang w:val="en-US" w:eastAsia="zh-CN"/>
        </w:rPr>
        <w:t>将</w:t>
      </w:r>
      <w:r>
        <w:rPr>
          <w:color w:val="auto"/>
        </w:rPr>
        <w:t>减轻项目建设造成的水土流失。另外，本项目在竖向</w:t>
      </w:r>
      <w:r>
        <w:rPr>
          <w:rFonts w:hint="eastAsia"/>
          <w:color w:val="auto"/>
          <w:lang w:eastAsia="zh-CN"/>
        </w:rPr>
        <w:t>布置</w:t>
      </w:r>
      <w:r>
        <w:rPr>
          <w:color w:val="auto"/>
        </w:rPr>
        <w:t>设计时，充分考虑了项目土石方平衡，使项目建构筑物基建施工产生的多余土石方</w:t>
      </w:r>
      <w:r>
        <w:rPr>
          <w:rFonts w:hint="eastAsia"/>
          <w:color w:val="auto"/>
          <w:lang w:val="en-US" w:eastAsia="zh-CN"/>
        </w:rPr>
        <w:t>全部</w:t>
      </w:r>
      <w:r>
        <w:rPr>
          <w:color w:val="auto"/>
        </w:rPr>
        <w:t>用于项目区各场地细部平整回填，且</w:t>
      </w:r>
      <w:r>
        <w:rPr>
          <w:rFonts w:hint="eastAsia"/>
          <w:color w:val="auto"/>
          <w:lang w:val="en-US" w:eastAsia="zh-CN"/>
        </w:rPr>
        <w:t>本项目与场外</w:t>
      </w:r>
      <w:r>
        <w:rPr>
          <w:color w:val="auto"/>
        </w:rPr>
        <w:t>道路及构建筑物场地竖向</w:t>
      </w:r>
      <w:r>
        <w:rPr>
          <w:rFonts w:hint="eastAsia"/>
          <w:color w:val="auto"/>
          <w:lang w:eastAsia="zh-CN"/>
        </w:rPr>
        <w:t>布置</w:t>
      </w:r>
      <w:r>
        <w:rPr>
          <w:color w:val="auto"/>
        </w:rPr>
        <w:t>设计中均形成了一定的排水坡降，为场地的防洪排水创造了良好条件，防止内涝。</w:t>
      </w:r>
    </w:p>
    <w:p w14:paraId="2AEFFCB2">
      <w:pPr>
        <w:bidi w:val="0"/>
        <w:rPr>
          <w:color w:val="auto"/>
        </w:rPr>
      </w:pPr>
      <w:r>
        <w:rPr>
          <w:color w:val="auto"/>
        </w:rPr>
        <w:t>根据相关资料，本项目不涉及饮用水水源保护区、水功能一级区的保护区和保留区，综上所述，从水土保持角度讲，本项目工程建设方案与布局基本合理，符合水土保持要求</w:t>
      </w:r>
      <w:r>
        <w:rPr>
          <w:rFonts w:hint="eastAsia"/>
          <w:color w:val="auto"/>
        </w:rPr>
        <w:t>。</w:t>
      </w:r>
    </w:p>
    <w:p w14:paraId="23DA51DA">
      <w:pPr>
        <w:rPr>
          <w:rFonts w:hint="eastAsia"/>
          <w:color w:val="auto"/>
        </w:rPr>
      </w:pPr>
      <w:r>
        <w:rPr>
          <w:rFonts w:hint="eastAsia"/>
          <w:color w:val="auto"/>
        </w:rPr>
        <w:t>（2）工程占地水土保持分析评价结论</w:t>
      </w:r>
    </w:p>
    <w:p w14:paraId="43884017">
      <w:pPr>
        <w:ind w:firstLine="480"/>
        <w:rPr>
          <w:color w:val="auto"/>
          <w:spacing w:val="-2"/>
        </w:rPr>
      </w:pPr>
      <w:r>
        <w:rPr>
          <w:rFonts w:hint="eastAsia"/>
          <w:color w:val="auto"/>
        </w:rPr>
        <w:t>本工程总占地面积</w:t>
      </w:r>
      <w:r>
        <w:rPr>
          <w:rFonts w:hint="eastAsia"/>
          <w:color w:val="auto"/>
          <w:lang w:val="en-US" w:eastAsia="zh-CN"/>
        </w:rPr>
        <w:t>3.66</w:t>
      </w:r>
      <w:r>
        <w:rPr>
          <w:rFonts w:hint="eastAsia"/>
          <w:color w:val="auto"/>
        </w:rPr>
        <w:t>hm</w:t>
      </w:r>
      <w:r>
        <w:rPr>
          <w:rFonts w:hint="eastAsia"/>
          <w:color w:val="auto"/>
          <w:vertAlign w:val="superscript"/>
        </w:rPr>
        <w:t>2</w:t>
      </w:r>
      <w:r>
        <w:rPr>
          <w:rFonts w:hint="eastAsia"/>
          <w:color w:val="auto"/>
        </w:rPr>
        <w:t>，</w:t>
      </w:r>
      <w:r>
        <w:rPr>
          <w:rFonts w:hint="eastAsia"/>
          <w:color w:val="auto"/>
          <w:lang w:val="en-US" w:eastAsia="zh-CN"/>
        </w:rPr>
        <w:t>全部为</w:t>
      </w:r>
      <w:r>
        <w:rPr>
          <w:rFonts w:hint="eastAsia"/>
          <w:color w:val="auto"/>
          <w:vertAlign w:val="baseline"/>
          <w:lang w:val="en-US" w:eastAsia="zh-CN"/>
        </w:rPr>
        <w:t>为</w:t>
      </w:r>
      <w:r>
        <w:rPr>
          <w:rFonts w:hint="eastAsia"/>
          <w:color w:val="auto"/>
          <w:lang w:eastAsia="zh-CN"/>
        </w:rPr>
        <w:t>永久占地</w:t>
      </w:r>
      <w:r>
        <w:rPr>
          <w:rFonts w:hint="eastAsia"/>
          <w:color w:val="auto"/>
        </w:rPr>
        <w:t>，</w:t>
      </w:r>
      <w:r>
        <w:rPr>
          <w:rFonts w:hint="default" w:ascii="Times New Roman" w:hAnsi="Times New Roman" w:eastAsia="仿宋_GB2312" w:cs="Times New Roman"/>
          <w:color w:val="auto"/>
          <w:lang w:val="en-US" w:eastAsia="zh-CN"/>
        </w:rPr>
        <w:t>占地类型</w:t>
      </w:r>
      <w:r>
        <w:rPr>
          <w:rFonts w:hint="eastAsia" w:cs="Times New Roman"/>
          <w:color w:val="auto"/>
          <w:lang w:val="en-US" w:eastAsia="zh-CN"/>
        </w:rPr>
        <w:t>为耕地</w:t>
      </w:r>
      <w:r>
        <w:rPr>
          <w:rFonts w:hint="default" w:ascii="Times New Roman" w:hAnsi="Times New Roman" w:eastAsia="仿宋_GB2312" w:cs="Times New Roman"/>
          <w:color w:val="auto"/>
        </w:rPr>
        <w:t>，</w:t>
      </w:r>
      <w:r>
        <w:rPr>
          <w:rFonts w:hint="eastAsia" w:cs="Times New Roman"/>
          <w:color w:val="auto"/>
          <w:lang w:val="en-US" w:eastAsia="zh-CN"/>
        </w:rPr>
        <w:t>现已规划为工业用地，</w:t>
      </w:r>
      <w:r>
        <w:rPr>
          <w:rFonts w:hint="default" w:ascii="Times New Roman" w:hAnsi="Times New Roman" w:eastAsia="仿宋_GB2312" w:cs="Times New Roman"/>
          <w:color w:val="auto"/>
        </w:rPr>
        <w:t>不涉及基本农田，占地符合水土保持相关规定。</w:t>
      </w:r>
    </w:p>
    <w:p w14:paraId="3658E3DF">
      <w:pPr>
        <w:ind w:firstLine="480"/>
        <w:rPr>
          <w:rFonts w:hint="eastAsia"/>
          <w:color w:val="auto"/>
          <w:lang w:eastAsia="zh-CN"/>
        </w:rPr>
      </w:pPr>
      <w:r>
        <w:rPr>
          <w:rFonts w:eastAsia="仿宋_GB2312"/>
          <w:color w:val="auto"/>
        </w:rPr>
        <w:t>根据本项目施工组织安排，施工</w:t>
      </w:r>
      <w:r>
        <w:rPr>
          <w:rFonts w:hint="eastAsia"/>
          <w:color w:val="auto"/>
          <w:lang w:val="en-US" w:eastAsia="zh-CN"/>
        </w:rPr>
        <w:t>场地区</w:t>
      </w:r>
      <w:r>
        <w:rPr>
          <w:rFonts w:eastAsia="仿宋_GB2312"/>
          <w:color w:val="auto"/>
        </w:rPr>
        <w:t>均布置于项目永久占地范围内，不新增临时占地，本项目</w:t>
      </w:r>
      <w:r>
        <w:rPr>
          <w:rFonts w:hint="eastAsia"/>
          <w:color w:val="auto"/>
          <w:lang w:val="en-US" w:eastAsia="zh-CN"/>
        </w:rPr>
        <w:t>施工场地</w:t>
      </w:r>
      <w:r>
        <w:rPr>
          <w:rFonts w:eastAsia="仿宋_GB2312"/>
          <w:color w:val="auto"/>
        </w:rPr>
        <w:t>布置紧凑、合理，有利于施工活动便捷地开展，同时又减少施工活动对新增场地的人为扰动，从而减少了水土流失，满足水土保持的防治要求。</w:t>
      </w:r>
    </w:p>
    <w:p w14:paraId="0A84A80C">
      <w:pPr>
        <w:ind w:firstLine="480"/>
        <w:rPr>
          <w:rFonts w:eastAsia="仿宋_GB2312"/>
          <w:color w:val="auto"/>
        </w:rPr>
      </w:pPr>
      <w:r>
        <w:rPr>
          <w:rFonts w:eastAsia="仿宋_GB2312"/>
          <w:color w:val="auto"/>
        </w:rPr>
        <w:t>本项目施工道路利用项目区外已建成道路。项目给排水、供电均可就近在相关接口引入（出），不需要新增占地。在项目施工中，扰动范围周围均布置了围栏，控制了扰动范围，满足施工要求，从水土保持角度分析，该区域没有影响周边道路交通，也没有对周边群众生产生活造成影响。</w:t>
      </w:r>
    </w:p>
    <w:p w14:paraId="4A983291">
      <w:pPr>
        <w:ind w:firstLine="480"/>
        <w:rPr>
          <w:rFonts w:eastAsia="仿宋_GB2312"/>
          <w:color w:val="auto"/>
        </w:rPr>
      </w:pPr>
      <w:r>
        <w:rPr>
          <w:rFonts w:eastAsia="仿宋_GB2312"/>
          <w:color w:val="auto"/>
        </w:rPr>
        <w:t>从水土保持角度分析，项目占地面积合理，不存在漏项，占地性质符合区域土地利用规划总体要求，符合节约用地和减少扰动的水土保持要求，因此项目占地是合理可行的。</w:t>
      </w:r>
    </w:p>
    <w:p w14:paraId="541DD610">
      <w:pPr>
        <w:rPr>
          <w:rFonts w:hint="eastAsia"/>
          <w:color w:val="auto"/>
        </w:rPr>
      </w:pPr>
      <w:r>
        <w:rPr>
          <w:rFonts w:hint="eastAsia"/>
          <w:color w:val="auto"/>
        </w:rPr>
        <w:t>（3）土石方平衡分析评价结论</w:t>
      </w:r>
    </w:p>
    <w:p w14:paraId="55255F55">
      <w:pPr>
        <w:numPr>
          <w:ilvl w:val="0"/>
          <w:numId w:val="6"/>
        </w:numPr>
        <w:ind w:firstLine="480"/>
        <w:rPr>
          <w:rFonts w:hint="eastAsia" w:eastAsia="仿宋_GB2312"/>
          <w:bCs/>
          <w:color w:val="auto"/>
        </w:rPr>
      </w:pPr>
      <w:r>
        <w:rPr>
          <w:rFonts w:hint="eastAsia" w:eastAsia="仿宋_GB2312"/>
          <w:bCs/>
          <w:color w:val="auto"/>
        </w:rPr>
        <w:t>表土分析</w:t>
      </w:r>
    </w:p>
    <w:p w14:paraId="55036613">
      <w:pPr>
        <w:bidi w:val="0"/>
        <w:rPr>
          <w:rFonts w:hint="eastAsia"/>
          <w:color w:val="auto"/>
          <w:lang w:val="en-US" w:eastAsia="zh-CN"/>
        </w:rPr>
      </w:pPr>
      <w:r>
        <w:rPr>
          <w:rFonts w:hint="eastAsia"/>
          <w:color w:val="auto"/>
          <w:lang w:val="en-US" w:eastAsia="zh-CN"/>
        </w:rPr>
        <w:t>根据地勘报告和现场调查，项目现场原始占地为耕地，已由政府进行统一场平施工，项目内部现无可剥离表土资源，不具备表土剥离条件。</w:t>
      </w:r>
    </w:p>
    <w:p w14:paraId="465DA64B">
      <w:pPr>
        <w:numPr>
          <w:ilvl w:val="0"/>
          <w:numId w:val="6"/>
        </w:numPr>
        <w:ind w:firstLine="480"/>
        <w:rPr>
          <w:rFonts w:hint="eastAsia" w:eastAsia="仿宋_GB2312"/>
          <w:bCs/>
          <w:color w:val="auto"/>
        </w:rPr>
      </w:pPr>
      <w:r>
        <w:rPr>
          <w:rFonts w:hint="eastAsia"/>
          <w:bCs/>
          <w:color w:val="auto"/>
          <w:lang w:val="en-US" w:eastAsia="zh-CN"/>
        </w:rPr>
        <w:t>基础</w:t>
      </w:r>
      <w:r>
        <w:rPr>
          <w:rFonts w:hint="eastAsia" w:eastAsia="仿宋_GB2312"/>
          <w:bCs/>
          <w:color w:val="auto"/>
        </w:rPr>
        <w:t>土石方</w:t>
      </w:r>
    </w:p>
    <w:p w14:paraId="5B858BFB">
      <w:pPr>
        <w:ind w:firstLine="480"/>
        <w:rPr>
          <w:rFonts w:hint="eastAsia" w:eastAsia="仿宋_GB2312"/>
          <w:color w:val="auto"/>
        </w:rPr>
      </w:pPr>
      <w:r>
        <w:rPr>
          <w:rFonts w:hint="eastAsia" w:eastAsia="仿宋_GB2312"/>
          <w:color w:val="auto"/>
        </w:rPr>
        <w:t>项目区建设</w:t>
      </w:r>
      <w:r>
        <w:rPr>
          <w:rFonts w:hint="eastAsia"/>
          <w:color w:val="auto"/>
          <w:lang w:val="en-US" w:eastAsia="zh-CN"/>
        </w:rPr>
        <w:t>前，已由政府统一进行了场平，本项目</w:t>
      </w:r>
      <w:r>
        <w:rPr>
          <w:rFonts w:hint="eastAsia" w:eastAsia="仿宋_GB2312"/>
          <w:color w:val="auto"/>
        </w:rPr>
        <w:t>进行</w:t>
      </w:r>
      <w:r>
        <w:rPr>
          <w:rFonts w:hint="eastAsia"/>
          <w:color w:val="auto"/>
          <w:lang w:val="en-US" w:eastAsia="zh-CN"/>
        </w:rPr>
        <w:t>建构筑物基础开挖</w:t>
      </w:r>
      <w:r>
        <w:rPr>
          <w:rFonts w:hint="eastAsia" w:eastAsia="仿宋_GB2312"/>
          <w:color w:val="auto"/>
        </w:rPr>
        <w:t>，工程开挖土石方主要来源于雨水管、污水管等管道开挖，本项目开挖过程中</w:t>
      </w:r>
      <w:r>
        <w:rPr>
          <w:rFonts w:hint="eastAsia" w:eastAsia="仿宋_GB2312"/>
          <w:color w:val="auto"/>
          <w:lang w:val="en-US" w:eastAsia="zh-CN"/>
        </w:rPr>
        <w:t>将</w:t>
      </w:r>
      <w:r>
        <w:rPr>
          <w:rFonts w:hint="eastAsia" w:eastAsia="仿宋_GB2312"/>
          <w:color w:val="auto"/>
        </w:rPr>
        <w:t>严格控制开挖范围，有效控制施工期间土石方量</w:t>
      </w:r>
      <w:r>
        <w:rPr>
          <w:rFonts w:hint="eastAsia" w:eastAsia="仿宋_GB2312"/>
          <w:color w:val="auto"/>
          <w:lang w:val="en-US" w:eastAsia="zh-CN"/>
        </w:rPr>
        <w:t>以</w:t>
      </w:r>
      <w:r>
        <w:rPr>
          <w:rFonts w:hint="eastAsia" w:eastAsia="仿宋_GB2312"/>
          <w:color w:val="auto"/>
        </w:rPr>
        <w:t>符合水土保持要求。</w:t>
      </w:r>
    </w:p>
    <w:p w14:paraId="612E67FD">
      <w:pPr>
        <w:numPr>
          <w:ilvl w:val="0"/>
          <w:numId w:val="6"/>
        </w:numPr>
        <w:ind w:firstLine="480"/>
        <w:rPr>
          <w:rFonts w:hint="eastAsia" w:eastAsia="仿宋_GB2312"/>
          <w:bCs/>
          <w:color w:val="auto"/>
        </w:rPr>
      </w:pPr>
      <w:r>
        <w:rPr>
          <w:rFonts w:hint="eastAsia" w:eastAsia="仿宋_GB2312"/>
          <w:bCs/>
          <w:color w:val="auto"/>
        </w:rPr>
        <w:t>土石方平衡</w:t>
      </w:r>
    </w:p>
    <w:p w14:paraId="62A22F1D">
      <w:pPr>
        <w:ind w:firstLine="480"/>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根据工程设计资料，本项目开挖土石方1.32万m</w:t>
      </w:r>
      <w:r>
        <w:rPr>
          <w:rFonts w:hint="eastAsia" w:ascii="Times New Roman" w:hAnsi="Times New Roman" w:cs="Times New Roman"/>
          <w:color w:val="auto"/>
          <w:vertAlign w:val="superscript"/>
          <w:lang w:val="en-US" w:eastAsia="zh-CN"/>
        </w:rPr>
        <w:t>3</w:t>
      </w:r>
      <w:r>
        <w:rPr>
          <w:rFonts w:hint="eastAsia" w:ascii="Times New Roman" w:hAnsi="Times New Roman" w:cs="Times New Roman"/>
          <w:color w:val="auto"/>
          <w:lang w:val="en-US" w:eastAsia="zh-CN"/>
        </w:rPr>
        <w:t>（自然方，下同），回填土石方1.32万m</w:t>
      </w:r>
      <w:r>
        <w:rPr>
          <w:rFonts w:hint="eastAsia" w:ascii="Times New Roman" w:hAnsi="Times New Roman" w:cs="Times New Roman"/>
          <w:color w:val="auto"/>
          <w:vertAlign w:val="superscript"/>
          <w:lang w:val="en-US" w:eastAsia="zh-CN"/>
        </w:rPr>
        <w:t>3</w:t>
      </w:r>
      <w:r>
        <w:rPr>
          <w:rFonts w:hint="eastAsia" w:ascii="Times New Roman" w:hAnsi="Times New Roman" w:cs="Times New Roman"/>
          <w:color w:val="auto"/>
          <w:lang w:val="en-US" w:eastAsia="zh-CN"/>
        </w:rPr>
        <w:t>（自然方，下同），无借方，无弃方。</w:t>
      </w:r>
    </w:p>
    <w:p w14:paraId="37A53763">
      <w:pPr>
        <w:ind w:firstLine="480"/>
        <w:rPr>
          <w:rFonts w:hint="default" w:eastAsia="仿宋_GB2312"/>
          <w:bCs/>
          <w:color w:val="auto"/>
          <w:lang w:val="en-US" w:eastAsia="zh-CN"/>
        </w:rPr>
      </w:pPr>
      <w:r>
        <w:rPr>
          <w:rFonts w:hint="eastAsia" w:eastAsia="仿宋_GB2312"/>
          <w:bCs/>
          <w:color w:val="auto"/>
        </w:rPr>
        <w:t>从水土保持角度分析，本项目的</w:t>
      </w:r>
      <w:r>
        <w:rPr>
          <w:rFonts w:hint="eastAsia"/>
          <w:bCs/>
          <w:color w:val="auto"/>
          <w:lang w:val="en-US" w:eastAsia="zh-CN"/>
        </w:rPr>
        <w:t>挖填平衡，</w:t>
      </w:r>
      <w:r>
        <w:rPr>
          <w:rFonts w:hint="eastAsia" w:eastAsia="仿宋_GB2312"/>
          <w:bCs/>
          <w:color w:val="auto"/>
          <w:lang w:val="en-US" w:eastAsia="zh-CN"/>
        </w:rPr>
        <w:t>实现了</w:t>
      </w:r>
      <w:r>
        <w:rPr>
          <w:rFonts w:hint="eastAsia"/>
          <w:bCs/>
          <w:color w:val="auto"/>
          <w:lang w:val="en-US" w:eastAsia="zh-CN"/>
        </w:rPr>
        <w:t>土石方</w:t>
      </w:r>
      <w:r>
        <w:rPr>
          <w:rFonts w:hint="eastAsia" w:eastAsia="仿宋_GB2312"/>
          <w:bCs/>
          <w:color w:val="auto"/>
        </w:rPr>
        <w:t>综合利用，满足水土保持要求。</w:t>
      </w:r>
    </w:p>
    <w:p w14:paraId="279EB5D9">
      <w:pPr>
        <w:pStyle w:val="40"/>
        <w:numPr>
          <w:ilvl w:val="0"/>
          <w:numId w:val="7"/>
        </w:numPr>
        <w:rPr>
          <w:rFonts w:hint="eastAsia"/>
          <w:color w:val="auto"/>
          <w:lang w:val="en-US" w:eastAsia="zh-CN"/>
        </w:rPr>
      </w:pPr>
      <w:r>
        <w:rPr>
          <w:rFonts w:hint="eastAsia"/>
          <w:color w:val="auto"/>
          <w:lang w:val="en-US" w:eastAsia="zh-CN"/>
        </w:rPr>
        <w:t>取土场设置评价</w:t>
      </w:r>
    </w:p>
    <w:p w14:paraId="25242216">
      <w:pPr>
        <w:bidi w:val="0"/>
        <w:rPr>
          <w:rFonts w:hint="eastAsia"/>
          <w:color w:val="auto"/>
          <w:lang w:val="en-US" w:eastAsia="zh-CN"/>
        </w:rPr>
      </w:pPr>
      <w:r>
        <w:rPr>
          <w:rFonts w:hint="eastAsia" w:cs="Times New Roman"/>
          <w:color w:val="auto"/>
        </w:rPr>
        <w:t>本工程不涉及取土（石、砂）场</w:t>
      </w:r>
      <w:r>
        <w:rPr>
          <w:rFonts w:hint="eastAsia" w:cs="Times New Roman"/>
          <w:color w:val="auto"/>
          <w:lang w:eastAsia="zh-CN"/>
        </w:rPr>
        <w:t>，</w:t>
      </w:r>
      <w:r>
        <w:rPr>
          <w:rFonts w:hint="eastAsia" w:cs="Times New Roman"/>
          <w:color w:val="auto"/>
        </w:rPr>
        <w:t>所需砂石料全部外购。</w:t>
      </w:r>
    </w:p>
    <w:p w14:paraId="4810DA63">
      <w:pPr>
        <w:pStyle w:val="40"/>
        <w:numPr>
          <w:ilvl w:val="0"/>
          <w:numId w:val="7"/>
        </w:numPr>
        <w:ind w:left="0" w:leftChars="0" w:firstLine="480" w:firstLineChars="200"/>
        <w:rPr>
          <w:rFonts w:hint="eastAsia"/>
          <w:color w:val="auto"/>
          <w:lang w:val="en-US" w:eastAsia="zh-CN"/>
        </w:rPr>
      </w:pPr>
      <w:r>
        <w:rPr>
          <w:rFonts w:hint="eastAsia"/>
          <w:color w:val="auto"/>
          <w:lang w:val="en-US" w:eastAsia="zh-CN"/>
        </w:rPr>
        <w:t>弃土场设置评价</w:t>
      </w:r>
    </w:p>
    <w:p w14:paraId="69EF2D01">
      <w:pPr>
        <w:pStyle w:val="40"/>
        <w:rPr>
          <w:rFonts w:hint="default"/>
          <w:color w:val="auto"/>
          <w:lang w:val="en-US"/>
        </w:rPr>
      </w:pPr>
      <w:r>
        <w:rPr>
          <w:rFonts w:hint="eastAsia"/>
          <w:color w:val="auto"/>
          <w:lang w:val="en-US" w:eastAsia="zh-CN"/>
        </w:rPr>
        <w:t>本项目不设弃渣场。</w:t>
      </w:r>
    </w:p>
    <w:p w14:paraId="0F948162">
      <w:pPr>
        <w:rPr>
          <w:rFonts w:hint="eastAsia"/>
          <w:color w:val="auto"/>
        </w:rPr>
      </w:pPr>
      <w:r>
        <w:rPr>
          <w:rFonts w:hint="eastAsia"/>
          <w:color w:val="auto"/>
        </w:rPr>
        <w:t>（</w:t>
      </w:r>
      <w:r>
        <w:rPr>
          <w:rFonts w:hint="eastAsia"/>
          <w:color w:val="auto"/>
          <w:lang w:val="en-US" w:eastAsia="zh-CN"/>
        </w:rPr>
        <w:t>6</w:t>
      </w:r>
      <w:r>
        <w:rPr>
          <w:rFonts w:hint="eastAsia"/>
          <w:color w:val="auto"/>
        </w:rPr>
        <w:t>）主体工程施工组织设计的水土保持分析评价结论</w:t>
      </w:r>
    </w:p>
    <w:p w14:paraId="3FAD658F">
      <w:pPr>
        <w:rPr>
          <w:rFonts w:hint="eastAsia"/>
          <w:color w:val="auto"/>
        </w:rPr>
      </w:pPr>
      <w:r>
        <w:rPr>
          <w:rFonts w:hint="eastAsia"/>
          <w:color w:val="auto"/>
        </w:rPr>
        <w:t>主体工程施工组织设计较为完善</w:t>
      </w:r>
      <w:r>
        <w:rPr>
          <w:rFonts w:hint="eastAsia"/>
          <w:color w:val="auto"/>
          <w:lang w:eastAsia="zh-CN"/>
        </w:rPr>
        <w:t>，施工时序与施工工艺等安排合理</w:t>
      </w:r>
      <w:r>
        <w:rPr>
          <w:rFonts w:hint="eastAsia"/>
          <w:color w:val="auto"/>
        </w:rPr>
        <w:t>，基本达到水土保持要求。</w:t>
      </w:r>
    </w:p>
    <w:p w14:paraId="62838614">
      <w:pPr>
        <w:rPr>
          <w:rFonts w:hint="eastAsia"/>
          <w:color w:val="auto"/>
        </w:rPr>
      </w:pPr>
      <w:r>
        <w:rPr>
          <w:rFonts w:hint="eastAsia"/>
          <w:color w:val="auto"/>
        </w:rPr>
        <w:t>（</w:t>
      </w:r>
      <w:r>
        <w:rPr>
          <w:rFonts w:hint="eastAsia"/>
          <w:color w:val="auto"/>
          <w:lang w:val="en-US" w:eastAsia="zh-CN"/>
        </w:rPr>
        <w:t>7</w:t>
      </w:r>
      <w:r>
        <w:rPr>
          <w:rFonts w:hint="eastAsia"/>
          <w:color w:val="auto"/>
        </w:rPr>
        <w:t>）主体工程设计的水土保持分析与评价结论</w:t>
      </w:r>
    </w:p>
    <w:p w14:paraId="5FC91E55">
      <w:pPr>
        <w:ind w:firstLine="480"/>
        <w:rPr>
          <w:color w:val="auto"/>
        </w:rPr>
      </w:pPr>
      <w:r>
        <w:rPr>
          <w:rFonts w:hint="eastAsia"/>
          <w:color w:val="auto"/>
        </w:rPr>
        <w:t>通过对主体工程方案的总体布置、施工布置、施工组织设计、施工工艺的分析与评价，主体工程在设计和工程布置时减少工程占地、减少扰动面积、维护生态环境等因素作为设计的重点之一。主体工程施工布置等方面都充分考虑了水土保持的要求，从设计上体现了水土保持理念，从源头上减少了水土流失及其危害。</w:t>
      </w:r>
    </w:p>
    <w:p w14:paraId="03B8D36C">
      <w:pPr>
        <w:pStyle w:val="3"/>
        <w:numPr>
          <w:ilvl w:val="1"/>
          <w:numId w:val="1"/>
        </w:numPr>
        <w:rPr>
          <w:color w:val="auto"/>
        </w:rPr>
      </w:pPr>
      <w:bookmarkStart w:id="63" w:name="_Toc16429"/>
      <w:r>
        <w:rPr>
          <w:rFonts w:hint="eastAsia"/>
          <w:color w:val="auto"/>
        </w:rPr>
        <w:t>水土流失</w:t>
      </w:r>
      <w:r>
        <w:rPr>
          <w:rFonts w:hint="eastAsia"/>
          <w:color w:val="auto"/>
          <w:lang w:val="en-US" w:eastAsia="zh-CN"/>
        </w:rPr>
        <w:t>预测</w:t>
      </w:r>
      <w:r>
        <w:rPr>
          <w:rFonts w:hint="eastAsia"/>
          <w:color w:val="auto"/>
        </w:rPr>
        <w:t>结果</w:t>
      </w:r>
      <w:bookmarkEnd w:id="63"/>
    </w:p>
    <w:p w14:paraId="25BA0BD7">
      <w:pPr>
        <w:bidi w:val="0"/>
        <w:rPr>
          <w:color w:val="auto"/>
        </w:rPr>
      </w:pPr>
      <w:r>
        <w:rPr>
          <w:rFonts w:hint="eastAsia"/>
          <w:color w:val="auto"/>
          <w:lang w:eastAsia="zh-CN"/>
        </w:rPr>
        <w:t>（</w:t>
      </w:r>
      <w:r>
        <w:rPr>
          <w:rFonts w:hint="eastAsia"/>
          <w:color w:val="auto"/>
          <w:lang w:val="en-US" w:eastAsia="zh-CN"/>
        </w:rPr>
        <w:t>1</w:t>
      </w:r>
      <w:r>
        <w:rPr>
          <w:rFonts w:hint="eastAsia"/>
          <w:color w:val="auto"/>
          <w:lang w:eastAsia="zh-CN"/>
        </w:rPr>
        <w:t>）</w:t>
      </w:r>
      <w:r>
        <w:rPr>
          <w:color w:val="auto"/>
        </w:rPr>
        <w:t>水土流失影响因子主要为降雨特性（雨量、雨强、历时等）、地形地貌、地面组成物质及其结构、植物类型及覆盖度、水土保持设施数量和质量，造成工程水土流失的主要原因为人为对地面的扰动。</w:t>
      </w:r>
    </w:p>
    <w:p w14:paraId="24201CF2">
      <w:pPr>
        <w:numPr>
          <w:ilvl w:val="0"/>
          <w:numId w:val="0"/>
        </w:numPr>
        <w:ind w:leftChars="200"/>
        <w:rPr>
          <w:color w:val="auto"/>
        </w:rPr>
      </w:pPr>
      <w:r>
        <w:rPr>
          <w:rFonts w:hint="eastAsia"/>
          <w:color w:val="auto"/>
          <w:lang w:eastAsia="zh-CN"/>
        </w:rPr>
        <w:t>（</w:t>
      </w:r>
      <w:r>
        <w:rPr>
          <w:rFonts w:hint="eastAsia"/>
          <w:color w:val="auto"/>
          <w:lang w:val="en-US" w:eastAsia="zh-CN"/>
        </w:rPr>
        <w:t>2</w:t>
      </w:r>
      <w:r>
        <w:rPr>
          <w:rFonts w:hint="eastAsia"/>
          <w:color w:val="auto"/>
          <w:lang w:eastAsia="zh-CN"/>
        </w:rPr>
        <w:t>）</w:t>
      </w:r>
      <w:r>
        <w:rPr>
          <w:color w:val="auto"/>
        </w:rPr>
        <w:t>本项目扰动原地貌面积</w:t>
      </w:r>
      <w:r>
        <w:rPr>
          <w:rFonts w:hint="eastAsia"/>
          <w:color w:val="auto"/>
          <w:lang w:val="en-US" w:eastAsia="zh-CN"/>
        </w:rPr>
        <w:t>3.66</w:t>
      </w:r>
      <w:r>
        <w:rPr>
          <w:color w:val="auto"/>
        </w:rPr>
        <w:t>hm</w:t>
      </w:r>
      <w:r>
        <w:rPr>
          <w:rFonts w:hint="eastAsia"/>
          <w:color w:val="auto"/>
          <w:vertAlign w:val="superscript"/>
        </w:rPr>
        <w:t>2</w:t>
      </w:r>
      <w:r>
        <w:rPr>
          <w:color w:val="auto"/>
        </w:rPr>
        <w:t>。</w:t>
      </w:r>
    </w:p>
    <w:p w14:paraId="216CA9D9">
      <w:pPr>
        <w:bidi w:val="0"/>
        <w:rPr>
          <w:rFonts w:hint="eastAsia"/>
          <w:color w:val="auto"/>
        </w:rPr>
      </w:pPr>
      <w:r>
        <w:rPr>
          <w:rFonts w:hint="eastAsia"/>
          <w:color w:val="auto"/>
          <w:lang w:eastAsia="zh-CN"/>
        </w:rPr>
        <w:t>（</w:t>
      </w:r>
      <w:r>
        <w:rPr>
          <w:rFonts w:hint="eastAsia"/>
          <w:color w:val="auto"/>
          <w:lang w:val="en-US" w:eastAsia="zh-CN"/>
        </w:rPr>
        <w:t>3</w:t>
      </w:r>
      <w:r>
        <w:rPr>
          <w:rFonts w:hint="eastAsia"/>
          <w:color w:val="auto"/>
          <w:lang w:eastAsia="zh-CN"/>
        </w:rPr>
        <w:t>）</w:t>
      </w:r>
      <w:r>
        <w:rPr>
          <w:rFonts w:hint="eastAsia"/>
          <w:color w:val="auto"/>
          <w:lang w:val="en-US" w:eastAsia="zh-CN"/>
        </w:rPr>
        <w:t>预测结果分析</w:t>
      </w:r>
      <w:r>
        <w:rPr>
          <w:rFonts w:hint="eastAsia"/>
          <w:color w:val="auto"/>
          <w:lang w:eastAsia="zh-CN"/>
        </w:rPr>
        <w:t>：</w:t>
      </w:r>
      <w:r>
        <w:rPr>
          <w:rFonts w:hint="eastAsia"/>
          <w:color w:val="auto"/>
          <w:lang w:val="en-US" w:eastAsia="zh-CN"/>
        </w:rPr>
        <w:t>本项目从开工建设至施工期结束，</w:t>
      </w:r>
      <w:r>
        <w:rPr>
          <w:rFonts w:hint="default"/>
          <w:color w:val="auto"/>
        </w:rPr>
        <w:t>在不采取水土保持措施的情况下</w:t>
      </w:r>
      <w:r>
        <w:rPr>
          <w:rFonts w:hint="eastAsia"/>
          <w:color w:val="auto"/>
        </w:rPr>
        <w:t>，</w:t>
      </w:r>
      <w:r>
        <w:rPr>
          <w:rFonts w:hint="eastAsia"/>
          <w:color w:val="auto"/>
          <w:lang w:val="en-US" w:eastAsia="zh-CN"/>
        </w:rPr>
        <w:t>可能</w:t>
      </w:r>
      <w:r>
        <w:rPr>
          <w:rFonts w:hint="eastAsia"/>
          <w:color w:val="auto"/>
        </w:rPr>
        <w:t>产生水土流失总量</w:t>
      </w:r>
      <w:r>
        <w:rPr>
          <w:rFonts w:hint="eastAsia"/>
          <w:color w:val="auto"/>
          <w:lang w:val="en-US" w:eastAsia="zh-CN"/>
        </w:rPr>
        <w:t>54.63</w:t>
      </w:r>
      <w:r>
        <w:rPr>
          <w:rFonts w:hint="eastAsia"/>
          <w:color w:val="auto"/>
        </w:rPr>
        <w:t>t，其中背景流失量</w:t>
      </w:r>
      <w:r>
        <w:rPr>
          <w:rFonts w:hint="eastAsia"/>
          <w:color w:val="auto"/>
          <w:lang w:val="en-US" w:eastAsia="zh-CN"/>
        </w:rPr>
        <w:t>5.50</w:t>
      </w:r>
      <w:r>
        <w:rPr>
          <w:rFonts w:hint="eastAsia"/>
          <w:color w:val="auto"/>
        </w:rPr>
        <w:t>t，工程建设新增流失量</w:t>
      </w:r>
      <w:r>
        <w:rPr>
          <w:rFonts w:hint="eastAsia"/>
          <w:color w:val="auto"/>
          <w:lang w:val="en-US" w:eastAsia="zh-CN"/>
        </w:rPr>
        <w:t>49.13</w:t>
      </w:r>
      <w:r>
        <w:rPr>
          <w:rFonts w:hint="eastAsia"/>
          <w:color w:val="auto"/>
        </w:rPr>
        <w:t>t。</w:t>
      </w:r>
      <w:r>
        <w:rPr>
          <w:rFonts w:hint="eastAsia"/>
          <w:color w:val="auto"/>
          <w:lang w:val="en-US" w:eastAsia="zh-CN"/>
        </w:rPr>
        <w:t>施工期土壤流失量为54.63t，占总流失量的100%，因此施工期是本项目土壤流失的重点时段。施工期中建构筑物区新增21.70t，占施工期新增总量的44.17%；道路硬化区</w:t>
      </w:r>
      <w:r>
        <w:rPr>
          <w:rFonts w:hint="eastAsia"/>
          <w:color w:val="auto"/>
        </w:rPr>
        <w:t>新增</w:t>
      </w:r>
      <w:r>
        <w:rPr>
          <w:rFonts w:hint="eastAsia"/>
          <w:color w:val="auto"/>
          <w:lang w:val="en-US" w:eastAsia="zh-CN"/>
        </w:rPr>
        <w:t>27.43</w:t>
      </w:r>
      <w:r>
        <w:rPr>
          <w:rFonts w:hint="eastAsia"/>
          <w:color w:val="auto"/>
        </w:rPr>
        <w:t>t，占新增总量的</w:t>
      </w:r>
      <w:r>
        <w:rPr>
          <w:rFonts w:hint="eastAsia"/>
          <w:color w:val="auto"/>
          <w:lang w:val="en-US" w:eastAsia="zh-CN"/>
        </w:rPr>
        <w:t>55.83</w:t>
      </w:r>
      <w:r>
        <w:rPr>
          <w:rFonts w:hint="eastAsia"/>
          <w:color w:val="auto"/>
        </w:rPr>
        <w:t>%</w:t>
      </w:r>
      <w:r>
        <w:rPr>
          <w:rFonts w:hint="eastAsia"/>
          <w:color w:val="auto"/>
          <w:lang w:eastAsia="zh-CN"/>
        </w:rPr>
        <w:t>。</w:t>
      </w:r>
      <w:r>
        <w:rPr>
          <w:rFonts w:hint="eastAsia"/>
          <w:color w:val="auto"/>
        </w:rPr>
        <w:t>从新增水土流失量的分布来看，</w:t>
      </w:r>
      <w:r>
        <w:rPr>
          <w:rFonts w:hint="eastAsia"/>
          <w:color w:val="auto"/>
          <w:lang w:val="en-US" w:eastAsia="zh-CN"/>
        </w:rPr>
        <w:t>道路硬化区、建构筑物区</w:t>
      </w:r>
      <w:r>
        <w:rPr>
          <w:rFonts w:hint="eastAsia"/>
          <w:color w:val="auto"/>
        </w:rPr>
        <w:t>是本方案的水土流失重点防治区域。</w:t>
      </w:r>
    </w:p>
    <w:p w14:paraId="661413EA">
      <w:pPr>
        <w:bidi w:val="0"/>
        <w:rPr>
          <w:rFonts w:eastAsia="仿宋_GB2312"/>
          <w:color w:val="0000FF"/>
        </w:rPr>
      </w:pPr>
    </w:p>
    <w:p w14:paraId="54CFBB6A">
      <w:pPr>
        <w:rPr>
          <w:color w:val="auto"/>
        </w:rPr>
      </w:pPr>
      <w:r>
        <w:rPr>
          <w:rFonts w:hint="eastAsia"/>
          <w:color w:val="auto"/>
          <w:lang w:eastAsia="zh-CN"/>
        </w:rPr>
        <w:t>因</w:t>
      </w:r>
      <w:r>
        <w:rPr>
          <w:color w:val="auto"/>
        </w:rPr>
        <w:t>工程建设扰动区域土壤侵蚀模数大于土壤侵蚀容许值，若不采取水土保持措施对其加以保护，会造成土壤养分大大降低，区域植被生长条件变差，对当地生态环境造成不利影响，加大水土流失治理难度。</w:t>
      </w:r>
    </w:p>
    <w:p w14:paraId="178950DC">
      <w:pPr>
        <w:pStyle w:val="3"/>
        <w:numPr>
          <w:ilvl w:val="1"/>
          <w:numId w:val="1"/>
        </w:numPr>
        <w:rPr>
          <w:color w:val="auto"/>
        </w:rPr>
      </w:pPr>
      <w:bookmarkStart w:id="64" w:name="_Toc25343"/>
      <w:r>
        <w:rPr>
          <w:rFonts w:hint="eastAsia"/>
          <w:color w:val="auto"/>
        </w:rPr>
        <w:t>水土保持措施布设成果</w:t>
      </w:r>
      <w:bookmarkEnd w:id="64"/>
    </w:p>
    <w:p w14:paraId="35257AAA">
      <w:pPr>
        <w:ind w:firstLine="480"/>
        <w:rPr>
          <w:rFonts w:eastAsia="仿宋_GB2312"/>
          <w:color w:val="auto"/>
        </w:rPr>
      </w:pPr>
      <w:r>
        <w:rPr>
          <w:rFonts w:eastAsia="仿宋_GB2312"/>
          <w:color w:val="auto"/>
        </w:rPr>
        <w:t>本方案将水土流失防治分区分为</w:t>
      </w:r>
      <w:r>
        <w:rPr>
          <w:rFonts w:hint="eastAsia"/>
          <w:color w:val="auto"/>
          <w:lang w:val="en-US" w:eastAsia="zh-CN"/>
        </w:rPr>
        <w:t>建构筑物区、道路硬化区</w:t>
      </w:r>
      <w:r>
        <w:rPr>
          <w:rFonts w:eastAsia="仿宋_GB2312"/>
          <w:color w:val="auto"/>
        </w:rPr>
        <w:t>共</w:t>
      </w:r>
      <w:r>
        <w:rPr>
          <w:rFonts w:hint="eastAsia"/>
          <w:color w:val="auto"/>
          <w:lang w:val="en-US" w:eastAsia="zh-CN"/>
        </w:rPr>
        <w:t>2</w:t>
      </w:r>
      <w:r>
        <w:rPr>
          <w:rFonts w:eastAsia="仿宋_GB2312"/>
          <w:color w:val="auto"/>
        </w:rPr>
        <w:t>个防治分区。针对各分区的不同情况，分别采取了相应的工程措施、</w:t>
      </w:r>
      <w:r>
        <w:rPr>
          <w:rFonts w:hint="eastAsia" w:eastAsia="仿宋_GB2312"/>
          <w:color w:val="auto"/>
          <w:lang w:val="en-US" w:eastAsia="zh-CN"/>
        </w:rPr>
        <w:t>植物措施及</w:t>
      </w:r>
      <w:r>
        <w:rPr>
          <w:rFonts w:eastAsia="仿宋_GB2312"/>
          <w:color w:val="auto"/>
        </w:rPr>
        <w:t>临时措施，以防治水土流失。主体工程已有的水土保持措施有：</w:t>
      </w:r>
      <w:r>
        <w:rPr>
          <w:rFonts w:eastAsia="仿宋_GB2312"/>
          <w:color w:val="auto"/>
          <w:kern w:val="0"/>
        </w:rPr>
        <w:t>排水沟、</w:t>
      </w:r>
      <w:r>
        <w:rPr>
          <w:rFonts w:hint="eastAsia" w:eastAsia="仿宋_GB2312"/>
          <w:color w:val="auto"/>
          <w:kern w:val="0"/>
          <w:lang w:val="en-US" w:eastAsia="zh-CN"/>
        </w:rPr>
        <w:t>雨水口、雨水管道等</w:t>
      </w:r>
      <w:r>
        <w:rPr>
          <w:rFonts w:eastAsia="仿宋_GB2312"/>
          <w:color w:val="auto"/>
        </w:rPr>
        <w:t>，下面分别对各防治区所采取的水土保持措施及主要工程量进行简述：</w:t>
      </w:r>
    </w:p>
    <w:p w14:paraId="159F29F9">
      <w:pPr>
        <w:ind w:firstLine="480"/>
        <w:rPr>
          <w:rFonts w:hint="default"/>
          <w:b/>
          <w:bCs/>
          <w:color w:val="auto"/>
          <w:lang w:val="en-US" w:eastAsia="zh-CN"/>
        </w:rPr>
      </w:pPr>
      <w:r>
        <w:rPr>
          <w:rFonts w:hint="eastAsia"/>
          <w:b/>
          <w:bCs/>
          <w:color w:val="auto"/>
          <w:lang w:val="en-US" w:eastAsia="zh-CN"/>
        </w:rPr>
        <w:t>（1）建构筑物区措施工程量统计</w:t>
      </w:r>
    </w:p>
    <w:p w14:paraId="5EA65373">
      <w:pPr>
        <w:ind w:firstLine="464"/>
        <w:rPr>
          <w:rFonts w:eastAsia="仿宋_GB2312"/>
          <w:b w:val="0"/>
          <w:bCs w:val="0"/>
          <w:color w:val="auto"/>
          <w:spacing w:val="-4"/>
          <w:szCs w:val="24"/>
        </w:rPr>
      </w:pPr>
      <w:r>
        <w:rPr>
          <w:rFonts w:hint="eastAsia"/>
          <w:b/>
          <w:bCs/>
          <w:color w:val="auto"/>
          <w:lang w:val="en-US" w:eastAsia="zh-CN"/>
        </w:rPr>
        <w:t>临时措施：</w:t>
      </w:r>
      <w:r>
        <w:rPr>
          <w:rFonts w:hint="eastAsia"/>
          <w:b w:val="0"/>
          <w:bCs w:val="0"/>
          <w:color w:val="auto"/>
          <w:lang w:val="en-US" w:eastAsia="zh-CN"/>
        </w:rPr>
        <w:t>方案新增——防雨布遮盖</w:t>
      </w:r>
      <w:r>
        <w:rPr>
          <w:rFonts w:hint="eastAsia"/>
          <w:b w:val="0"/>
          <w:bCs w:val="0"/>
          <w:color w:val="auto"/>
          <w:spacing w:val="-4"/>
          <w:szCs w:val="24"/>
          <w:lang w:val="en-US" w:eastAsia="zh-CN"/>
        </w:rPr>
        <w:t>15000</w:t>
      </w:r>
      <w:r>
        <w:rPr>
          <w:rFonts w:eastAsia="仿宋_GB2312"/>
          <w:b w:val="0"/>
          <w:bCs w:val="0"/>
          <w:color w:val="auto"/>
          <w:spacing w:val="-4"/>
          <w:szCs w:val="24"/>
        </w:rPr>
        <w:t>m</w:t>
      </w:r>
      <w:r>
        <w:rPr>
          <w:rFonts w:eastAsia="仿宋_GB2312"/>
          <w:b w:val="0"/>
          <w:bCs w:val="0"/>
          <w:color w:val="auto"/>
          <w:spacing w:val="-4"/>
          <w:szCs w:val="24"/>
          <w:vertAlign w:val="superscript"/>
        </w:rPr>
        <w:t>2</w:t>
      </w:r>
      <w:r>
        <w:rPr>
          <w:rFonts w:eastAsia="仿宋_GB2312"/>
          <w:b w:val="0"/>
          <w:bCs w:val="0"/>
          <w:color w:val="auto"/>
          <w:spacing w:val="-4"/>
          <w:szCs w:val="24"/>
        </w:rPr>
        <w:t>。</w:t>
      </w:r>
    </w:p>
    <w:p w14:paraId="17215190">
      <w:pPr>
        <w:bidi w:val="0"/>
        <w:rPr>
          <w:rFonts w:hint="eastAsia"/>
          <w:b/>
          <w:bCs/>
          <w:color w:val="auto"/>
          <w:lang w:val="en-US" w:eastAsia="zh-CN"/>
        </w:rPr>
      </w:pPr>
      <w:r>
        <w:rPr>
          <w:rFonts w:hint="eastAsia"/>
          <w:b/>
          <w:bCs/>
          <w:color w:val="auto"/>
          <w:lang w:val="en-US" w:eastAsia="zh-CN"/>
        </w:rPr>
        <w:t>（2）道路硬化区措施工程量统计</w:t>
      </w:r>
    </w:p>
    <w:p w14:paraId="1A843EE9">
      <w:pPr>
        <w:bidi w:val="0"/>
        <w:rPr>
          <w:rFonts w:hint="eastAsia"/>
          <w:color w:val="auto"/>
          <w:kern w:val="0"/>
          <w:lang w:val="en-US" w:eastAsia="zh-CN"/>
        </w:rPr>
      </w:pPr>
      <w:r>
        <w:rPr>
          <w:rFonts w:hint="eastAsia"/>
          <w:b w:val="0"/>
          <w:bCs w:val="0"/>
          <w:color w:val="auto"/>
          <w:lang w:val="en-US" w:eastAsia="zh-CN"/>
        </w:rPr>
        <w:t>工程措施：主体已有——</w:t>
      </w:r>
      <w:r>
        <w:rPr>
          <w:rFonts w:hint="eastAsia"/>
          <w:color w:val="auto"/>
          <w:kern w:val="0"/>
          <w:lang w:val="en-US" w:eastAsia="zh-CN"/>
        </w:rPr>
        <w:t>雨水管道1600m、雨水口50口。</w:t>
      </w:r>
    </w:p>
    <w:p w14:paraId="6328EC04">
      <w:pPr>
        <w:ind w:firstLine="0"/>
        <w:rPr>
          <w:rFonts w:hint="eastAsia"/>
          <w:color w:val="auto"/>
          <w:lang w:val="en-US" w:eastAsia="zh-CN"/>
        </w:rPr>
      </w:pPr>
      <w:r>
        <w:rPr>
          <w:rFonts w:hint="eastAsia"/>
          <w:color w:val="auto"/>
          <w:kern w:val="2"/>
          <w:sz w:val="24"/>
          <w:szCs w:val="24"/>
          <w:lang w:val="en-US" w:eastAsia="zh-CN"/>
        </w:rPr>
        <w:t>临时措施：方案新增——</w:t>
      </w:r>
      <w:r>
        <w:rPr>
          <w:rFonts w:hint="eastAsia"/>
          <w:color w:val="auto"/>
          <w:lang w:eastAsia="zh-CN"/>
        </w:rPr>
        <w:t>洗车系统</w:t>
      </w:r>
      <w:r>
        <w:rPr>
          <w:rFonts w:hint="eastAsia"/>
          <w:color w:val="auto"/>
          <w:lang w:val="en-US" w:eastAsia="zh-CN"/>
        </w:rPr>
        <w:t>1座</w:t>
      </w:r>
      <w:r>
        <w:rPr>
          <w:rFonts w:hint="eastAsia"/>
          <w:color w:val="auto"/>
          <w:spacing w:val="-4"/>
          <w:szCs w:val="24"/>
          <w:lang w:eastAsia="zh-CN"/>
        </w:rPr>
        <w:t>、</w:t>
      </w:r>
      <w:r>
        <w:rPr>
          <w:rFonts w:hint="eastAsia" w:ascii="Times New Roman" w:hAnsi="Times New Roman" w:cs="Times New Roman"/>
          <w:color w:val="auto"/>
          <w:szCs w:val="24"/>
          <w:lang w:val="en-US" w:eastAsia="zh-CN"/>
        </w:rPr>
        <w:t>临时排水沟</w:t>
      </w:r>
      <w:r>
        <w:rPr>
          <w:rFonts w:hint="eastAsia" w:cs="Times New Roman"/>
          <w:color w:val="auto"/>
          <w:szCs w:val="24"/>
          <w:lang w:val="en-US" w:eastAsia="zh-CN"/>
        </w:rPr>
        <w:t>500m</w:t>
      </w:r>
      <w:r>
        <w:rPr>
          <w:rFonts w:hint="eastAsia" w:ascii="Times New Roman" w:hAnsi="Times New Roman" w:cs="Times New Roman"/>
          <w:color w:val="auto"/>
          <w:szCs w:val="24"/>
          <w:lang w:val="en-US" w:eastAsia="zh-CN"/>
        </w:rPr>
        <w:t>、临时</w:t>
      </w:r>
      <w:bookmarkStart w:id="217" w:name="_GoBack"/>
      <w:r>
        <w:rPr>
          <w:rFonts w:hint="eastAsia" w:ascii="Times New Roman" w:hAnsi="Times New Roman" w:cs="Times New Roman"/>
          <w:color w:val="auto"/>
          <w:szCs w:val="24"/>
          <w:lang w:val="en-US" w:eastAsia="zh-CN"/>
        </w:rPr>
        <w:t>沉砂池</w:t>
      </w:r>
      <w:bookmarkEnd w:id="217"/>
      <w:r>
        <w:rPr>
          <w:rFonts w:hint="eastAsia"/>
          <w:color w:val="auto"/>
          <w:lang w:val="en-US" w:eastAsia="zh-CN"/>
        </w:rPr>
        <w:t>2座</w:t>
      </w:r>
      <w:r>
        <w:rPr>
          <w:rFonts w:hint="eastAsia" w:cs="Times New Roman"/>
          <w:snapToGrid w:val="0"/>
          <w:color w:val="auto"/>
          <w:szCs w:val="24"/>
          <w:lang w:val="en-US" w:eastAsia="zh-CN"/>
        </w:rPr>
        <w:t>、</w:t>
      </w:r>
      <w:r>
        <w:rPr>
          <w:rFonts w:eastAsia="仿宋_GB2312"/>
          <w:color w:val="auto"/>
        </w:rPr>
        <w:t>防雨布遮盖</w:t>
      </w:r>
      <w:r>
        <w:rPr>
          <w:rFonts w:hint="eastAsia"/>
          <w:color w:val="auto"/>
          <w:lang w:val="en-US" w:eastAsia="zh-CN"/>
        </w:rPr>
        <w:t>20000</w:t>
      </w:r>
      <w:r>
        <w:rPr>
          <w:rFonts w:eastAsia="仿宋_GB2312"/>
          <w:color w:val="auto"/>
        </w:rPr>
        <w:t>m</w:t>
      </w:r>
      <w:r>
        <w:rPr>
          <w:rFonts w:eastAsia="仿宋_GB2312"/>
          <w:color w:val="auto"/>
          <w:vertAlign w:val="superscript"/>
        </w:rPr>
        <w:t>2</w:t>
      </w:r>
      <w:r>
        <w:rPr>
          <w:rFonts w:eastAsia="仿宋_GB2312"/>
          <w:color w:val="auto"/>
          <w:spacing w:val="-4"/>
          <w:szCs w:val="24"/>
        </w:rPr>
        <w:t>。</w:t>
      </w:r>
    </w:p>
    <w:p w14:paraId="6EB76FEF">
      <w:pPr>
        <w:pStyle w:val="3"/>
        <w:numPr>
          <w:ilvl w:val="1"/>
          <w:numId w:val="1"/>
        </w:numPr>
        <w:rPr>
          <w:color w:val="auto"/>
        </w:rPr>
      </w:pPr>
      <w:bookmarkStart w:id="65" w:name="_Toc1652"/>
      <w:r>
        <w:rPr>
          <w:rFonts w:hint="eastAsia"/>
          <w:color w:val="auto"/>
        </w:rPr>
        <w:t>水土保持监测方案</w:t>
      </w:r>
      <w:bookmarkEnd w:id="65"/>
    </w:p>
    <w:p w14:paraId="645AFE91">
      <w:pPr>
        <w:ind w:firstLine="480"/>
        <w:jc w:val="left"/>
        <w:rPr>
          <w:bCs/>
          <w:color w:val="auto"/>
          <w:szCs w:val="24"/>
          <w:lang w:val="zh-CN"/>
        </w:rPr>
      </w:pPr>
      <w:r>
        <w:rPr>
          <w:rFonts w:hint="eastAsia"/>
          <w:bCs/>
          <w:color w:val="auto"/>
          <w:lang w:val="zh-CN"/>
        </w:rPr>
        <w:t>根据《水利部关于进一步深化“放管服”改革全面加强水土保持监管的意见》（水保〔2019〕160号）、《水利部办公厅关于进一步加强生产建设项目水土保持监测工作的通知》（办水保〔2020〕161 号）中简化验收报备的要求，该项目属于实行承诺制管理的项目，对水土保持监测不作相应要求，但建设单位应依法做好水土流失防治工作</w:t>
      </w:r>
      <w:r>
        <w:rPr>
          <w:rFonts w:hint="eastAsia"/>
          <w:bCs/>
          <w:color w:val="auto"/>
          <w:szCs w:val="24"/>
          <w:lang w:val="zh-CN"/>
        </w:rPr>
        <w:t>。</w:t>
      </w:r>
    </w:p>
    <w:p w14:paraId="03C3C731">
      <w:pPr>
        <w:pStyle w:val="3"/>
        <w:numPr>
          <w:ilvl w:val="1"/>
          <w:numId w:val="1"/>
        </w:numPr>
        <w:rPr>
          <w:color w:val="auto"/>
        </w:rPr>
      </w:pPr>
      <w:bookmarkStart w:id="66" w:name="_Toc30343"/>
      <w:r>
        <w:rPr>
          <w:rFonts w:hint="eastAsia"/>
          <w:color w:val="auto"/>
        </w:rPr>
        <w:t>水土保持投资及效益分析成果</w:t>
      </w:r>
      <w:bookmarkEnd w:id="66"/>
    </w:p>
    <w:p w14:paraId="5A4BB3E3">
      <w:pPr>
        <w:bidi w:val="0"/>
        <w:rPr>
          <w:rFonts w:hint="eastAsia" w:ascii="Times New Roman" w:hAnsi="Times New Roman" w:cs="Times New Roman"/>
          <w:color w:val="auto"/>
          <w:kern w:val="0"/>
          <w:lang w:val="en-US" w:eastAsia="zh-CN"/>
        </w:rPr>
      </w:pPr>
      <w:r>
        <w:rPr>
          <w:rFonts w:hint="eastAsia" w:ascii="Times New Roman" w:hAnsi="Times New Roman" w:cs="Times New Roman"/>
          <w:color w:val="auto"/>
          <w:lang w:val="en-US" w:eastAsia="zh-CN"/>
        </w:rPr>
        <w:t>经投资概算分析，本工程水土保持总投资为</w:t>
      </w:r>
      <w:r>
        <w:rPr>
          <w:rFonts w:hint="eastAsia" w:cs="Times New Roman"/>
          <w:color w:val="auto"/>
          <w:lang w:val="en-US" w:eastAsia="zh-CN"/>
        </w:rPr>
        <w:t>98.46</w:t>
      </w:r>
      <w:r>
        <w:rPr>
          <w:rFonts w:hint="eastAsia" w:ascii="Times New Roman" w:hAnsi="Times New Roman" w:cs="Times New Roman"/>
          <w:color w:val="auto"/>
          <w:lang w:val="en-US" w:eastAsia="zh-CN"/>
        </w:rPr>
        <w:t>万元，其中主体已列</w:t>
      </w:r>
      <w:r>
        <w:rPr>
          <w:rFonts w:hint="eastAsia" w:cs="Times New Roman"/>
          <w:color w:val="auto"/>
          <w:lang w:val="en-US" w:eastAsia="zh-CN"/>
        </w:rPr>
        <w:t>52.07</w:t>
      </w:r>
      <w:r>
        <w:rPr>
          <w:rFonts w:hint="eastAsia" w:ascii="Times New Roman" w:hAnsi="Times New Roman" w:cs="Times New Roman"/>
          <w:color w:val="auto"/>
          <w:lang w:val="en-US" w:eastAsia="zh-CN"/>
        </w:rPr>
        <w:t>万元，水保新增投资</w:t>
      </w:r>
      <w:r>
        <w:rPr>
          <w:rFonts w:hint="eastAsia" w:cs="Times New Roman"/>
          <w:color w:val="auto"/>
          <w:lang w:val="en-US" w:eastAsia="zh-CN"/>
        </w:rPr>
        <w:t>46.39</w:t>
      </w:r>
      <w:r>
        <w:rPr>
          <w:rFonts w:hint="eastAsia" w:ascii="Times New Roman" w:hAnsi="Times New Roman" w:cs="Times New Roman"/>
          <w:color w:val="auto"/>
          <w:lang w:val="en-US" w:eastAsia="zh-CN"/>
        </w:rPr>
        <w:t>万元。水土保持总投资中，工程措施费</w:t>
      </w:r>
      <w:r>
        <w:rPr>
          <w:rFonts w:hint="eastAsia" w:cs="Times New Roman"/>
          <w:color w:val="auto"/>
          <w:lang w:val="en-US" w:eastAsia="zh-CN"/>
        </w:rPr>
        <w:t>46.39</w:t>
      </w:r>
      <w:r>
        <w:rPr>
          <w:rFonts w:hint="eastAsia" w:ascii="Times New Roman" w:hAnsi="Times New Roman" w:cs="Times New Roman"/>
          <w:color w:val="auto"/>
          <w:lang w:val="en-US" w:eastAsia="zh-CN"/>
        </w:rPr>
        <w:t>万元，植物措施费</w:t>
      </w:r>
      <w:r>
        <w:rPr>
          <w:rFonts w:hint="eastAsia" w:cs="Times New Roman"/>
          <w:color w:val="auto"/>
          <w:lang w:val="en-US" w:eastAsia="zh-CN"/>
        </w:rPr>
        <w:t>0</w:t>
      </w:r>
      <w:r>
        <w:rPr>
          <w:rFonts w:hint="eastAsia" w:ascii="Times New Roman" w:hAnsi="Times New Roman" w:cs="Times New Roman"/>
          <w:color w:val="auto"/>
          <w:lang w:val="en-US" w:eastAsia="zh-CN"/>
        </w:rPr>
        <w:t>万元，临时措施费用</w:t>
      </w:r>
      <w:r>
        <w:rPr>
          <w:rFonts w:hint="eastAsia" w:cs="Times New Roman"/>
          <w:color w:val="auto"/>
          <w:lang w:val="en-US" w:eastAsia="zh-CN"/>
        </w:rPr>
        <w:t>39.03</w:t>
      </w:r>
      <w:r>
        <w:rPr>
          <w:rFonts w:hint="eastAsia" w:ascii="Times New Roman" w:hAnsi="Times New Roman" w:cs="Times New Roman"/>
          <w:color w:val="auto"/>
          <w:lang w:val="en-US" w:eastAsia="zh-CN"/>
        </w:rPr>
        <w:t>万元，独立费用</w:t>
      </w:r>
      <w:r>
        <w:rPr>
          <w:rFonts w:hint="eastAsia" w:cs="Times New Roman"/>
          <w:color w:val="auto"/>
          <w:lang w:val="en-US" w:eastAsia="zh-CN"/>
        </w:rPr>
        <w:t>4.78</w:t>
      </w:r>
      <w:r>
        <w:rPr>
          <w:rFonts w:hint="eastAsia" w:ascii="Times New Roman" w:hAnsi="Times New Roman" w:cs="Times New Roman"/>
          <w:color w:val="auto"/>
          <w:lang w:val="en-US" w:eastAsia="zh-CN"/>
        </w:rPr>
        <w:t>万元</w:t>
      </w:r>
      <w:r>
        <w:rPr>
          <w:rFonts w:hint="eastAsia"/>
          <w:color w:val="auto"/>
          <w:lang w:eastAsia="zh-CN"/>
        </w:rPr>
        <w:t>，</w:t>
      </w:r>
      <w:r>
        <w:rPr>
          <w:rFonts w:eastAsia="仿宋_GB2312"/>
          <w:color w:val="auto"/>
        </w:rPr>
        <w:t>基本预备费</w:t>
      </w:r>
      <w:r>
        <w:rPr>
          <w:rFonts w:hint="eastAsia"/>
          <w:color w:val="auto"/>
          <w:lang w:val="en-US" w:eastAsia="zh-CN"/>
        </w:rPr>
        <w:t>3.50</w:t>
      </w:r>
      <w:r>
        <w:rPr>
          <w:rFonts w:eastAsia="仿宋_GB2312"/>
          <w:color w:val="auto"/>
        </w:rPr>
        <w:t>万元，水土保持补偿费</w:t>
      </w:r>
      <w:r>
        <w:rPr>
          <w:rFonts w:hint="eastAsia"/>
          <w:color w:val="auto"/>
          <w:lang w:val="en-US" w:eastAsia="zh-CN"/>
        </w:rPr>
        <w:t>4.761</w:t>
      </w:r>
      <w:r>
        <w:rPr>
          <w:rFonts w:eastAsia="仿宋_GB2312"/>
          <w:color w:val="auto"/>
        </w:rPr>
        <w:t>万元</w:t>
      </w:r>
      <w:r>
        <w:rPr>
          <w:rFonts w:hint="eastAsia"/>
          <w:color w:val="auto"/>
          <w:lang w:eastAsia="zh-CN"/>
        </w:rPr>
        <w:t>（</w:t>
      </w:r>
      <w:r>
        <w:rPr>
          <w:rFonts w:hint="eastAsia" w:cs="Times New Roman"/>
          <w:color w:val="auto"/>
          <w:lang w:val="en-US" w:eastAsia="zh-CN"/>
        </w:rPr>
        <w:t>47611.02</w:t>
      </w:r>
      <w:r>
        <w:rPr>
          <w:rFonts w:hint="eastAsia" w:ascii="Times New Roman" w:hAnsi="Times New Roman" w:cs="Times New Roman"/>
          <w:color w:val="auto"/>
          <w:lang w:val="en-US" w:eastAsia="zh-CN"/>
        </w:rPr>
        <w:t>元</w:t>
      </w:r>
      <w:r>
        <w:rPr>
          <w:rFonts w:hint="eastAsia" w:ascii="Times New Roman" w:hAnsi="Times New Roman" w:cs="Times New Roman"/>
          <w:color w:val="auto"/>
          <w:kern w:val="0"/>
          <w:lang w:val="en-US" w:eastAsia="zh-CN"/>
        </w:rPr>
        <w:t>）</w:t>
      </w:r>
      <w:r>
        <w:rPr>
          <w:rFonts w:hint="eastAsia" w:cs="Times New Roman"/>
          <w:color w:val="auto"/>
          <w:kern w:val="0"/>
          <w:lang w:val="en-US" w:eastAsia="zh-CN"/>
        </w:rPr>
        <w:t>。</w:t>
      </w:r>
    </w:p>
    <w:p w14:paraId="6845853F">
      <w:pPr>
        <w:ind w:firstLine="480"/>
        <w:rPr>
          <w:rFonts w:hint="default" w:ascii="Times New Roman" w:hAnsi="Times New Roman" w:cs="Times New Roman"/>
          <w:color w:val="auto"/>
          <w:highlight w:val="none"/>
        </w:rPr>
      </w:pPr>
      <w:r>
        <w:rPr>
          <w:rFonts w:hint="eastAsia"/>
          <w:color w:val="auto"/>
          <w:lang w:eastAsia="zh-CN"/>
        </w:rPr>
        <w:t>通过实施</w:t>
      </w:r>
      <w:r>
        <w:rPr>
          <w:rFonts w:hint="eastAsia"/>
          <w:color w:val="auto"/>
          <w:lang w:val="en-US" w:eastAsia="zh-CN"/>
        </w:rPr>
        <w:t>方案设计的</w:t>
      </w:r>
      <w:r>
        <w:rPr>
          <w:rFonts w:hint="eastAsia"/>
          <w:color w:val="auto"/>
          <w:lang w:eastAsia="zh-CN"/>
        </w:rPr>
        <w:t>水土保持措施后，</w:t>
      </w:r>
      <w:r>
        <w:rPr>
          <w:rFonts w:hint="eastAsia"/>
          <w:color w:val="auto"/>
          <w:lang w:val="en-US" w:eastAsia="zh-CN"/>
        </w:rPr>
        <w:t>至设计水平年，本项目可治理水土流失面积3.64hm</w:t>
      </w:r>
      <w:r>
        <w:rPr>
          <w:rFonts w:hint="eastAsia"/>
          <w:color w:val="auto"/>
          <w:vertAlign w:val="superscript"/>
          <w:lang w:val="en-US" w:eastAsia="zh-CN"/>
        </w:rPr>
        <w:t>2</w:t>
      </w:r>
      <w:r>
        <w:rPr>
          <w:rFonts w:hint="eastAsia"/>
          <w:color w:val="auto"/>
          <w:lang w:val="en-US" w:eastAsia="zh-CN"/>
        </w:rPr>
        <w:t>，渣土挡护量1.30万m</w:t>
      </w:r>
      <w:r>
        <w:rPr>
          <w:rFonts w:hint="eastAsia"/>
          <w:color w:val="auto"/>
          <w:vertAlign w:val="superscript"/>
          <w:lang w:val="en-US" w:eastAsia="zh-CN"/>
        </w:rPr>
        <w:t>3</w:t>
      </w:r>
      <w:r>
        <w:rPr>
          <w:rFonts w:hint="eastAsia"/>
          <w:color w:val="auto"/>
        </w:rPr>
        <w:t>。</w:t>
      </w:r>
      <w:r>
        <w:rPr>
          <w:rFonts w:hint="eastAsia"/>
          <w:color w:val="auto"/>
          <w:lang w:val="en-US" w:eastAsia="zh-CN"/>
        </w:rPr>
        <w:t>六项指标中</w:t>
      </w:r>
      <w:r>
        <w:rPr>
          <w:rFonts w:hint="eastAsia"/>
          <w:color w:val="auto"/>
        </w:rPr>
        <w:t>水土流失治理度可达到</w:t>
      </w:r>
      <w:r>
        <w:rPr>
          <w:rFonts w:hint="eastAsia"/>
          <w:color w:val="auto"/>
          <w:lang w:val="en-US" w:eastAsia="zh-CN"/>
        </w:rPr>
        <w:t>99.45</w:t>
      </w:r>
      <w:r>
        <w:rPr>
          <w:rFonts w:hint="eastAsia"/>
          <w:color w:val="auto"/>
        </w:rPr>
        <w:t>%，</w:t>
      </w:r>
      <w:r>
        <w:rPr>
          <w:color w:val="auto"/>
        </w:rPr>
        <w:t>土壤流失控制比</w:t>
      </w:r>
      <w:r>
        <w:rPr>
          <w:rFonts w:hint="eastAsia"/>
          <w:color w:val="auto"/>
        </w:rPr>
        <w:t>可达到</w:t>
      </w:r>
      <w:r>
        <w:rPr>
          <w:rFonts w:hint="eastAsia"/>
          <w:color w:val="auto"/>
          <w:lang w:val="en-US" w:eastAsia="zh-CN"/>
        </w:rPr>
        <w:t>1.67</w:t>
      </w:r>
      <w:r>
        <w:rPr>
          <w:rFonts w:hint="eastAsia"/>
          <w:color w:val="auto"/>
        </w:rPr>
        <w:t>，</w:t>
      </w:r>
      <w:r>
        <w:rPr>
          <w:rFonts w:hint="eastAsia"/>
          <w:color w:val="auto"/>
          <w:lang w:eastAsia="zh-CN"/>
        </w:rPr>
        <w:t>渣土防护率达到</w:t>
      </w:r>
      <w:r>
        <w:rPr>
          <w:rFonts w:hint="eastAsia"/>
          <w:color w:val="auto"/>
          <w:lang w:val="en-US" w:eastAsia="zh-CN"/>
        </w:rPr>
        <w:t>98.48%，表土保护率、</w:t>
      </w:r>
      <w:r>
        <w:rPr>
          <w:rFonts w:hint="eastAsia"/>
          <w:color w:val="auto"/>
        </w:rPr>
        <w:t>林草植被恢复率</w:t>
      </w:r>
      <w:r>
        <w:rPr>
          <w:rFonts w:hint="eastAsia"/>
          <w:color w:val="auto"/>
          <w:lang w:eastAsia="zh-CN"/>
        </w:rPr>
        <w:t>、</w:t>
      </w:r>
      <w:r>
        <w:rPr>
          <w:rFonts w:hint="eastAsia"/>
          <w:color w:val="auto"/>
        </w:rPr>
        <w:t>林草覆盖率</w:t>
      </w:r>
      <w:r>
        <w:rPr>
          <w:rFonts w:hint="eastAsia"/>
          <w:color w:val="auto"/>
          <w:lang w:val="en-US" w:eastAsia="zh-CN"/>
        </w:rPr>
        <w:t>不计列。</w:t>
      </w:r>
      <w:r>
        <w:rPr>
          <w:rFonts w:hint="default" w:ascii="Times New Roman" w:hAnsi="Times New Roman" w:eastAsia="仿宋_GB2312" w:cs="Times New Roman"/>
          <w:color w:val="auto"/>
          <w:highlight w:val="none"/>
        </w:rPr>
        <w:t>各项水土流失防治指标均能达到方案防治目标，建设区水土流失可基本得到有效治理和控制，生态环境得到恢复或改善</w:t>
      </w:r>
      <w:r>
        <w:rPr>
          <w:rFonts w:hint="default" w:ascii="Times New Roman" w:hAnsi="Times New Roman" w:cs="Times New Roman"/>
          <w:color w:val="auto"/>
          <w:highlight w:val="none"/>
        </w:rPr>
        <w:t>。</w:t>
      </w:r>
    </w:p>
    <w:p w14:paraId="10C2C2F6">
      <w:pPr>
        <w:pStyle w:val="3"/>
        <w:numPr>
          <w:ilvl w:val="1"/>
          <w:numId w:val="1"/>
        </w:numPr>
        <w:rPr>
          <w:color w:val="auto"/>
        </w:rPr>
      </w:pPr>
      <w:bookmarkStart w:id="67" w:name="_Toc23656"/>
      <w:r>
        <w:rPr>
          <w:rFonts w:hint="eastAsia"/>
          <w:color w:val="auto"/>
        </w:rPr>
        <w:t>结论</w:t>
      </w:r>
      <w:bookmarkEnd w:id="67"/>
      <w:r>
        <w:rPr>
          <w:rFonts w:hint="eastAsia"/>
          <w:color w:val="auto"/>
          <w:lang w:val="en-US" w:eastAsia="zh-CN"/>
        </w:rPr>
        <w:t xml:space="preserve"> </w:t>
      </w:r>
    </w:p>
    <w:p w14:paraId="06BE29DA">
      <w:pPr>
        <w:bidi w:val="0"/>
        <w:rPr>
          <w:rFonts w:hint="eastAsia"/>
          <w:color w:val="auto"/>
        </w:rPr>
      </w:pPr>
      <w:r>
        <w:rPr>
          <w:color w:val="auto"/>
        </w:rPr>
        <w:t>本工程</w:t>
      </w:r>
      <w:r>
        <w:rPr>
          <w:rFonts w:hint="eastAsia"/>
          <w:color w:val="auto"/>
        </w:rPr>
        <w:t>的</w:t>
      </w:r>
      <w:r>
        <w:rPr>
          <w:color w:val="auto"/>
        </w:rPr>
        <w:t>建设符合国家产业政策</w:t>
      </w:r>
      <w:r>
        <w:rPr>
          <w:rFonts w:hint="eastAsia"/>
          <w:color w:val="auto"/>
        </w:rPr>
        <w:t>，项目选址</w:t>
      </w:r>
      <w:r>
        <w:rPr>
          <w:rFonts w:hint="eastAsia"/>
          <w:color w:val="auto"/>
          <w:lang w:val="en-US" w:eastAsia="zh-CN"/>
        </w:rPr>
        <w:t>不在</w:t>
      </w:r>
      <w:r>
        <w:rPr>
          <w:rFonts w:hint="eastAsia"/>
          <w:color w:val="auto"/>
        </w:rPr>
        <w:t>河流两岸、湖泊和水库周边的植物保护带，</w:t>
      </w:r>
      <w:r>
        <w:rPr>
          <w:rFonts w:hint="eastAsia"/>
          <w:color w:val="auto"/>
          <w:lang w:val="en-US" w:eastAsia="zh-CN"/>
        </w:rPr>
        <w:t>不在</w:t>
      </w:r>
      <w:r>
        <w:rPr>
          <w:color w:val="auto"/>
        </w:rPr>
        <w:t>全国水土保持监测网络中的水土保持监测站点、重点试验区，未占用国家确定的水土保持长期地面观测站，</w:t>
      </w:r>
      <w:r>
        <w:rPr>
          <w:rFonts w:hint="eastAsia"/>
          <w:color w:val="auto"/>
        </w:rPr>
        <w:t>所在地雅安市雨城区不属于国家级和省级水土流失重点预防区和重点治理区，在采取主体工程及本水土保持方案提出的水土保持措施后，能有效地控制并减少工程建设可能带来的水土流失风险和危害</w:t>
      </w:r>
      <w:r>
        <w:rPr>
          <w:rFonts w:hint="eastAsia"/>
          <w:color w:val="auto"/>
          <w:lang w:eastAsia="zh-CN"/>
        </w:rPr>
        <w:t>，本项目</w:t>
      </w:r>
      <w:r>
        <w:rPr>
          <w:color w:val="auto"/>
        </w:rPr>
        <w:t>选址</w:t>
      </w:r>
      <w:r>
        <w:rPr>
          <w:rFonts w:hint="eastAsia"/>
          <w:color w:val="auto"/>
          <w:lang w:val="en-US" w:eastAsia="zh-CN"/>
        </w:rPr>
        <w:t>符合</w:t>
      </w:r>
      <w:r>
        <w:rPr>
          <w:color w:val="auto"/>
        </w:rPr>
        <w:t>水土保持要求。</w:t>
      </w:r>
    </w:p>
    <w:p w14:paraId="084C73B4">
      <w:pPr>
        <w:bidi w:val="0"/>
        <w:rPr>
          <w:color w:val="auto"/>
        </w:rPr>
      </w:pPr>
      <w:r>
        <w:rPr>
          <w:rFonts w:hint="eastAsia"/>
          <w:color w:val="auto"/>
        </w:rPr>
        <w:t>本工程</w:t>
      </w:r>
      <w:r>
        <w:rPr>
          <w:color w:val="auto"/>
        </w:rPr>
        <w:t>属于城镇区建设项目，主体设计配套建设相应雨水管等排水设施，有效的导排占地区的地表径流，从水土保持角度来看，本工程建设方案符合水土保持要求。</w:t>
      </w:r>
    </w:p>
    <w:p w14:paraId="26CE864D">
      <w:pPr>
        <w:ind w:firstLine="480"/>
        <w:rPr>
          <w:color w:val="auto"/>
        </w:rPr>
      </w:pPr>
      <w:r>
        <w:rPr>
          <w:rFonts w:hint="eastAsia"/>
          <w:color w:val="auto"/>
        </w:rPr>
        <w:t>为避免新增水土流失对当地环境带来的不利影响，改善工程区水土保持现状，落实本方案设计中的水土流失防治措施，提出以下建议和要求：</w:t>
      </w:r>
    </w:p>
    <w:p w14:paraId="4033E3D3">
      <w:pPr>
        <w:ind w:firstLine="480"/>
        <w:rPr>
          <w:color w:val="auto"/>
        </w:rPr>
      </w:pPr>
      <w:r>
        <w:rPr>
          <w:rFonts w:hint="eastAsia"/>
          <w:color w:val="auto"/>
        </w:rPr>
        <w:t>建议建设单位尽早成立水土保持工作领导机构，预防和管理并重，切实抓好水土流失防治工作，保证工程生产运行的顺利进行。</w:t>
      </w:r>
    </w:p>
    <w:p w14:paraId="269922D9">
      <w:pPr>
        <w:ind w:firstLine="480"/>
        <w:rPr>
          <w:color w:val="auto"/>
        </w:rPr>
      </w:pPr>
      <w:r>
        <w:rPr>
          <w:rFonts w:hint="eastAsia"/>
          <w:color w:val="auto"/>
        </w:rPr>
        <w:t>工程建设单位与水行政主管部门密切配合，做好水土保持措施实施的管理和监督工作，实现水土保持工程监理制度，对水土保持措施的实施进度、质量和资金进行监控管理，保证工程质量。</w:t>
      </w:r>
    </w:p>
    <w:p w14:paraId="3F15822D">
      <w:pPr>
        <w:bidi w:val="0"/>
        <w:rPr>
          <w:rFonts w:hint="eastAsia"/>
          <w:color w:val="auto"/>
          <w:lang w:eastAsia="zh-CN"/>
        </w:rPr>
      </w:pPr>
      <w:r>
        <w:rPr>
          <w:rFonts w:hint="eastAsia"/>
          <w:color w:val="auto"/>
          <w:lang w:val="zh-CN"/>
        </w:rPr>
        <w:t>在主体工程及水土保持设施完成后，及时开展水土保持设施自主验收，验收合格后方能投入运行</w:t>
      </w:r>
      <w:r>
        <w:rPr>
          <w:rFonts w:hint="eastAsia"/>
          <w:color w:val="auto"/>
          <w:lang w:eastAsia="zh-CN"/>
        </w:rPr>
        <w:t>。</w:t>
      </w:r>
    </w:p>
    <w:p w14:paraId="77E5BBB2">
      <w:pPr>
        <w:pStyle w:val="2"/>
        <w:bidi w:val="0"/>
        <w:rPr>
          <w:rFonts w:hint="eastAsia"/>
          <w:color w:val="auto"/>
        </w:rPr>
        <w:sectPr>
          <w:headerReference r:id="rId9" w:type="default"/>
          <w:footerReference r:id="rId10" w:type="default"/>
          <w:pgSz w:w="11906" w:h="16838"/>
          <w:pgMar w:top="1417" w:right="1417" w:bottom="1417" w:left="1417" w:header="1134" w:footer="1134" w:gutter="0"/>
          <w:pgBorders>
            <w:top w:val="none" w:sz="0" w:space="0"/>
            <w:left w:val="none" w:sz="0" w:space="0"/>
            <w:bottom w:val="none" w:sz="0" w:space="0"/>
            <w:right w:val="none" w:sz="0" w:space="0"/>
          </w:pgBorders>
          <w:pgNumType w:fmt="decimal" w:start="1"/>
          <w:cols w:space="425" w:num="1"/>
          <w:docGrid w:type="lines" w:linePitch="312" w:charSpace="0"/>
        </w:sectPr>
      </w:pPr>
    </w:p>
    <w:p w14:paraId="679C42D5">
      <w:pPr>
        <w:pStyle w:val="2"/>
        <w:bidi w:val="0"/>
        <w:rPr>
          <w:color w:val="auto"/>
        </w:rPr>
      </w:pPr>
      <w:bookmarkStart w:id="68" w:name="_Toc30765"/>
      <w:r>
        <w:rPr>
          <w:rFonts w:hint="eastAsia"/>
          <w:color w:val="auto"/>
        </w:rPr>
        <w:t>2 项目概况</w:t>
      </w:r>
      <w:bookmarkEnd w:id="68"/>
    </w:p>
    <w:p w14:paraId="7C6BC2B9">
      <w:pPr>
        <w:pStyle w:val="3"/>
        <w:rPr>
          <w:color w:val="auto"/>
        </w:rPr>
      </w:pPr>
      <w:bookmarkStart w:id="69" w:name="_Toc11671"/>
      <w:r>
        <w:rPr>
          <w:rFonts w:hint="eastAsia"/>
          <w:color w:val="auto"/>
        </w:rPr>
        <w:t>2.1项目组成及工程布置</w:t>
      </w:r>
      <w:bookmarkEnd w:id="69"/>
    </w:p>
    <w:p w14:paraId="35AAB987">
      <w:pPr>
        <w:pStyle w:val="5"/>
        <w:bidi w:val="0"/>
        <w:rPr>
          <w:rFonts w:hint="default"/>
          <w:color w:val="auto"/>
          <w:lang w:val="en-US" w:eastAsia="zh-CN"/>
        </w:rPr>
      </w:pPr>
      <w:r>
        <w:rPr>
          <w:rFonts w:hint="eastAsia"/>
          <w:color w:val="auto"/>
          <w:lang w:val="en-US" w:eastAsia="zh-CN"/>
        </w:rPr>
        <w:t>2.1.2地理位置及交通条件</w:t>
      </w:r>
    </w:p>
    <w:p w14:paraId="0E31A4C5">
      <w:pPr>
        <w:rPr>
          <w:rFonts w:hint="default" w:ascii="Times New Roman" w:hAnsi="Times New Roman"/>
          <w:color w:val="auto"/>
          <w:lang w:val="en-US" w:eastAsia="zh-CN"/>
        </w:rPr>
      </w:pPr>
      <w:r>
        <w:rPr>
          <w:rFonts w:hint="eastAsia"/>
          <w:color w:val="auto"/>
          <w:lang w:eastAsia="zh-CN"/>
        </w:rPr>
        <w:t>该项目位于四川省雅安市永兴大道中段 699 号，位于四川巨宏新材料有限责任公司厂区范围内，拟在四川巨宏新材料有限责任公司厂区西北角进行建设项目，项目北侧为厂区围墙，围墙外为青江路，南侧为四川巨宏新材料有限责任公司变配电站、食堂、化验室和动力中心，西侧为厂区围墙，外墙外侧为永兴大道，东侧为四川巨宏新材料有限责任公司水电解制氢装置、变配电间和充装单元。</w:t>
      </w:r>
      <w:r>
        <w:rPr>
          <w:rFonts w:hint="eastAsia"/>
          <w:color w:val="auto"/>
          <w:lang w:val="en-US" w:eastAsia="zh-CN"/>
        </w:rPr>
        <w:t>项目中心坐标为经度</w:t>
      </w:r>
      <w:r>
        <w:rPr>
          <w:rFonts w:hint="eastAsia" w:ascii="Times New Roman" w:hAnsi="Times New Roman"/>
          <w:color w:val="auto"/>
          <w:lang w:eastAsia="zh-CN"/>
        </w:rPr>
        <w:t>103°8′25.8</w:t>
      </w:r>
      <w:r>
        <w:rPr>
          <w:rFonts w:hint="eastAsia" w:ascii="Times New Roman" w:hAnsi="Times New Roman"/>
          <w:color w:val="auto"/>
          <w:lang w:val="en-US" w:eastAsia="zh-CN"/>
        </w:rPr>
        <w:t>5</w:t>
      </w:r>
      <w:r>
        <w:rPr>
          <w:rFonts w:hint="eastAsia" w:ascii="Times New Roman" w:hAnsi="Times New Roman"/>
          <w:color w:val="auto"/>
          <w:lang w:eastAsia="zh-CN"/>
        </w:rPr>
        <w:t>″,</w:t>
      </w:r>
      <w:r>
        <w:rPr>
          <w:rFonts w:hint="eastAsia" w:ascii="Times New Roman" w:hAnsi="Times New Roman"/>
          <w:color w:val="auto"/>
          <w:lang w:val="en-US" w:eastAsia="zh-CN"/>
        </w:rPr>
        <w:t>纬度</w:t>
      </w:r>
      <w:r>
        <w:rPr>
          <w:rFonts w:hint="eastAsia" w:ascii="Times New Roman" w:hAnsi="Times New Roman"/>
          <w:color w:val="auto"/>
          <w:lang w:eastAsia="zh-CN"/>
        </w:rPr>
        <w:t>30°0′10.8</w:t>
      </w:r>
      <w:r>
        <w:rPr>
          <w:rFonts w:hint="eastAsia" w:ascii="Times New Roman" w:hAnsi="Times New Roman"/>
          <w:color w:val="auto"/>
          <w:lang w:val="en-US" w:eastAsia="zh-CN"/>
        </w:rPr>
        <w:t>5</w:t>
      </w:r>
      <w:r>
        <w:rPr>
          <w:rFonts w:hint="eastAsia" w:ascii="Times New Roman" w:hAnsi="Times New Roman"/>
          <w:color w:val="auto"/>
          <w:lang w:eastAsia="zh-CN"/>
        </w:rPr>
        <w:t>″，</w:t>
      </w:r>
      <w:r>
        <w:rPr>
          <w:rFonts w:hint="eastAsia" w:ascii="Times New Roman" w:hAnsi="Times New Roman"/>
          <w:color w:val="auto"/>
          <w:lang w:val="en-US" w:eastAsia="zh-CN"/>
        </w:rPr>
        <w:t>交通方便。</w:t>
      </w:r>
    </w:p>
    <w:p w14:paraId="01CCEFB1">
      <w:pPr>
        <w:rPr>
          <w:rFonts w:hint="default"/>
          <w:color w:val="auto"/>
          <w:lang w:val="en-US" w:eastAsia="zh-CN"/>
        </w:rPr>
      </w:pPr>
      <w:r>
        <w:rPr>
          <w:rFonts w:hint="eastAsia"/>
          <w:color w:val="auto"/>
          <w:lang w:eastAsia="zh-CN"/>
        </w:rPr>
        <w:t>详见图</w:t>
      </w:r>
      <w:r>
        <w:rPr>
          <w:rFonts w:hint="eastAsia"/>
          <w:color w:val="auto"/>
          <w:lang w:val="en-US" w:eastAsia="zh-CN"/>
        </w:rPr>
        <w:t xml:space="preserve">2.1-1，附图1。 </w:t>
      </w:r>
    </w:p>
    <w:p w14:paraId="31A23D9F">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color w:val="0000FF"/>
        </w:rPr>
      </w:pPr>
      <w:r>
        <w:drawing>
          <wp:inline distT="0" distB="0" distL="114300" distR="114300">
            <wp:extent cx="4909185" cy="4020820"/>
            <wp:effectExtent l="0" t="0" r="5715" b="17780"/>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31"/>
                    <a:stretch>
                      <a:fillRect/>
                    </a:stretch>
                  </pic:blipFill>
                  <pic:spPr>
                    <a:xfrm>
                      <a:off x="0" y="0"/>
                      <a:ext cx="4909185" cy="4020820"/>
                    </a:xfrm>
                    <a:prstGeom prst="rect">
                      <a:avLst/>
                    </a:prstGeom>
                    <a:noFill/>
                    <a:ln>
                      <a:noFill/>
                    </a:ln>
                  </pic:spPr>
                </pic:pic>
              </a:graphicData>
            </a:graphic>
          </wp:inline>
        </w:drawing>
      </w:r>
    </w:p>
    <w:p w14:paraId="62268A2E">
      <w:pPr>
        <w:pStyle w:val="35"/>
        <w:bidi w:val="0"/>
        <w:rPr>
          <w:rFonts w:hint="default"/>
          <w:color w:val="auto"/>
          <w:lang w:val="en-US" w:eastAsia="zh-CN"/>
        </w:rPr>
      </w:pPr>
      <w:r>
        <w:rPr>
          <w:rFonts w:hint="eastAsia"/>
          <w:color w:val="auto"/>
          <w:highlight w:val="none"/>
          <w:lang w:val="en-US" w:eastAsia="zh-CN"/>
        </w:rPr>
        <w:t>图2.1-1 项目区位置图</w:t>
      </w:r>
    </w:p>
    <w:p w14:paraId="275C255D">
      <w:pPr>
        <w:bidi w:val="0"/>
        <w:rPr>
          <w:rFonts w:hint="eastAsia"/>
          <w:color w:val="0000FF"/>
        </w:rPr>
      </w:pPr>
    </w:p>
    <w:p w14:paraId="402E9BDA">
      <w:pPr>
        <w:bidi w:val="0"/>
        <w:rPr>
          <w:rFonts w:hint="eastAsia"/>
          <w:color w:val="0000FF"/>
        </w:rPr>
      </w:pPr>
    </w:p>
    <w:p w14:paraId="533B87DD">
      <w:pPr>
        <w:pStyle w:val="5"/>
        <w:rPr>
          <w:rFonts w:hint="eastAsia" w:eastAsia="仿宋_GB2312"/>
          <w:color w:val="auto"/>
          <w:lang w:eastAsia="zh-CN"/>
        </w:rPr>
      </w:pPr>
      <w:r>
        <w:rPr>
          <w:rFonts w:hint="eastAsia"/>
          <w:color w:val="auto"/>
        </w:rPr>
        <w:t>2.</w:t>
      </w:r>
      <w:r>
        <w:rPr>
          <w:rFonts w:hint="eastAsia"/>
          <w:color w:val="auto"/>
          <w:lang w:val="en-US" w:eastAsia="zh-CN"/>
        </w:rPr>
        <w:t>1.3</w:t>
      </w:r>
      <w:r>
        <w:rPr>
          <w:rFonts w:hint="eastAsia"/>
          <w:color w:val="auto"/>
        </w:rPr>
        <w:t>项目组成</w:t>
      </w:r>
    </w:p>
    <w:p w14:paraId="532E49C8">
      <w:pPr>
        <w:ind w:firstLine="480"/>
        <w:rPr>
          <w:rFonts w:eastAsia="仿宋_GB2312"/>
          <w:bCs/>
          <w:color w:val="auto"/>
          <w:highlight w:val="none"/>
          <w:shd w:val="clear" w:color="auto" w:fill="auto"/>
        </w:rPr>
      </w:pPr>
      <w:r>
        <w:rPr>
          <w:rFonts w:hint="eastAsia" w:eastAsia="仿宋_GB2312"/>
          <w:bCs/>
          <w:color w:val="auto"/>
          <w:highlight w:val="none"/>
          <w:shd w:val="clear" w:color="auto" w:fill="auto"/>
        </w:rPr>
        <w:t>本项目主要建设内容分为</w:t>
      </w:r>
      <w:r>
        <w:rPr>
          <w:rFonts w:hint="eastAsia"/>
          <w:bCs/>
          <w:color w:val="auto"/>
          <w:highlight w:val="none"/>
          <w:shd w:val="clear" w:color="auto" w:fill="auto"/>
          <w:lang w:val="en-US" w:eastAsia="zh-CN"/>
        </w:rPr>
        <w:t>建构筑物、道路硬化及附属工程</w:t>
      </w:r>
      <w:r>
        <w:rPr>
          <w:rFonts w:hint="eastAsia" w:eastAsia="仿宋_GB2312"/>
          <w:bCs/>
          <w:color w:val="auto"/>
          <w:highlight w:val="none"/>
          <w:shd w:val="clear" w:color="auto" w:fill="auto"/>
        </w:rPr>
        <w:t>。</w:t>
      </w:r>
    </w:p>
    <w:p w14:paraId="5086264C">
      <w:pPr>
        <w:ind w:firstLine="480"/>
        <w:rPr>
          <w:rFonts w:hint="default" w:eastAsia="仿宋_GB2312"/>
          <w:color w:val="auto"/>
          <w:highlight w:val="none"/>
          <w:shd w:val="clear" w:color="auto" w:fill="auto"/>
          <w:lang w:val="en-US" w:eastAsia="zh-CN"/>
        </w:rPr>
      </w:pPr>
      <w:r>
        <w:rPr>
          <w:rFonts w:hint="eastAsia" w:eastAsia="仿宋_GB2312"/>
          <w:color w:val="auto"/>
          <w:highlight w:val="none"/>
          <w:shd w:val="clear" w:color="auto" w:fill="auto"/>
          <w:lang w:val="en-US" w:eastAsia="zh-CN"/>
        </w:rPr>
        <w:t>（1）</w:t>
      </w:r>
      <w:r>
        <w:rPr>
          <w:rFonts w:hint="eastAsia"/>
          <w:bCs/>
          <w:color w:val="auto"/>
          <w:highlight w:val="none"/>
          <w:shd w:val="clear" w:color="auto" w:fill="auto"/>
          <w:lang w:val="en-US" w:eastAsia="zh-CN"/>
        </w:rPr>
        <w:t>建构筑物</w:t>
      </w:r>
    </w:p>
    <w:p w14:paraId="676CF2EA">
      <w:pPr>
        <w:ind w:firstLine="480"/>
        <w:rPr>
          <w:rFonts w:hint="default" w:eastAsia="仿宋_GB2312"/>
          <w:color w:val="auto"/>
          <w:lang w:val="en-US" w:eastAsia="zh-CN"/>
        </w:rPr>
      </w:pPr>
      <w:r>
        <w:rPr>
          <w:rFonts w:hint="eastAsia" w:eastAsia="仿宋_GB2312"/>
          <w:color w:val="auto"/>
          <w:spacing w:val="6"/>
          <w:highlight w:val="none"/>
          <w:shd w:val="clear" w:color="auto" w:fill="auto"/>
          <w:lang w:val="en-US" w:eastAsia="zh-CN"/>
        </w:rPr>
        <w:t>本项目</w:t>
      </w:r>
      <w:r>
        <w:rPr>
          <w:rFonts w:hint="eastAsia"/>
          <w:color w:val="auto"/>
          <w:spacing w:val="6"/>
          <w:highlight w:val="none"/>
          <w:shd w:val="clear" w:color="auto" w:fill="auto"/>
          <w:lang w:val="en-US" w:eastAsia="zh-CN"/>
        </w:rPr>
        <w:t>建构筑物</w:t>
      </w:r>
      <w:r>
        <w:rPr>
          <w:rFonts w:hint="eastAsia" w:eastAsia="仿宋_GB2312"/>
          <w:color w:val="auto"/>
          <w:spacing w:val="6"/>
          <w:highlight w:val="none"/>
          <w:shd w:val="clear" w:color="auto" w:fill="auto"/>
          <w:lang w:val="en-US" w:eastAsia="zh-CN"/>
        </w:rPr>
        <w:t>占地面积为</w:t>
      </w:r>
      <w:r>
        <w:rPr>
          <w:rFonts w:hint="eastAsia"/>
          <w:color w:val="auto"/>
          <w:spacing w:val="6"/>
          <w:highlight w:val="none"/>
          <w:shd w:val="clear" w:color="auto" w:fill="auto"/>
          <w:lang w:val="en-US" w:eastAsia="zh-CN"/>
        </w:rPr>
        <w:t>15473.75</w:t>
      </w:r>
      <w:r>
        <w:rPr>
          <w:rFonts w:hint="eastAsia" w:eastAsia="仿宋_GB2312"/>
          <w:color w:val="auto"/>
          <w:spacing w:val="6"/>
          <w:highlight w:val="none"/>
          <w:shd w:val="clear" w:color="auto" w:fill="auto"/>
          <w:lang w:val="en-US" w:eastAsia="zh-CN"/>
        </w:rPr>
        <w:t>m</w:t>
      </w:r>
      <w:r>
        <w:rPr>
          <w:rFonts w:hint="eastAsia" w:eastAsia="仿宋_GB2312"/>
          <w:color w:val="auto"/>
          <w:spacing w:val="6"/>
          <w:highlight w:val="none"/>
          <w:shd w:val="clear" w:color="auto" w:fill="auto"/>
          <w:vertAlign w:val="superscript"/>
          <w:lang w:val="en-US" w:eastAsia="zh-CN"/>
        </w:rPr>
        <w:t>2</w:t>
      </w:r>
      <w:r>
        <w:rPr>
          <w:rFonts w:hint="eastAsia" w:eastAsia="仿宋_GB2312"/>
          <w:color w:val="auto"/>
          <w:spacing w:val="6"/>
          <w:highlight w:val="none"/>
          <w:shd w:val="clear" w:color="auto" w:fill="auto"/>
          <w:vertAlign w:val="baseline"/>
          <w:lang w:val="en-US" w:eastAsia="zh-CN"/>
        </w:rPr>
        <w:t>，</w:t>
      </w:r>
      <w:r>
        <w:rPr>
          <w:rFonts w:hint="eastAsia"/>
          <w:color w:val="auto"/>
          <w:spacing w:val="6"/>
          <w:highlight w:val="none"/>
          <w:shd w:val="clear" w:color="auto" w:fill="auto"/>
          <w:vertAlign w:val="baseline"/>
          <w:lang w:val="en-US" w:eastAsia="zh-CN"/>
        </w:rPr>
        <w:t>总</w:t>
      </w:r>
      <w:r>
        <w:rPr>
          <w:rFonts w:hint="eastAsia" w:eastAsia="仿宋_GB2312"/>
          <w:color w:val="auto"/>
          <w:highlight w:val="none"/>
          <w:shd w:val="clear" w:color="auto" w:fill="auto"/>
          <w:lang w:val="en-US" w:eastAsia="zh-CN"/>
        </w:rPr>
        <w:t>建筑面积</w:t>
      </w:r>
      <w:r>
        <w:rPr>
          <w:rFonts w:hint="eastAsia"/>
          <w:color w:val="auto"/>
          <w:highlight w:val="none"/>
          <w:shd w:val="clear" w:color="auto" w:fill="auto"/>
          <w:lang w:val="en-US" w:eastAsia="zh-CN"/>
        </w:rPr>
        <w:t>7273.75</w:t>
      </w:r>
      <w:r>
        <w:rPr>
          <w:rFonts w:hint="eastAsia" w:eastAsia="仿宋_GB2312"/>
          <w:color w:val="auto"/>
          <w:highlight w:val="none"/>
          <w:shd w:val="clear" w:color="auto" w:fill="auto"/>
          <w:lang w:val="en-US" w:eastAsia="zh-CN"/>
        </w:rPr>
        <w:t>m</w:t>
      </w:r>
      <w:r>
        <w:rPr>
          <w:rFonts w:hint="eastAsia" w:eastAsia="仿宋_GB2312"/>
          <w:color w:val="auto"/>
          <w:highlight w:val="none"/>
          <w:shd w:val="clear" w:color="auto" w:fill="auto"/>
          <w:vertAlign w:val="superscript"/>
          <w:lang w:val="en-US" w:eastAsia="zh-CN"/>
        </w:rPr>
        <w:t>2</w:t>
      </w:r>
      <w:r>
        <w:rPr>
          <w:rFonts w:hint="eastAsia"/>
          <w:color w:val="auto"/>
          <w:highlight w:val="none"/>
          <w:shd w:val="clear" w:color="auto" w:fill="auto"/>
          <w:lang w:val="en-US" w:eastAsia="zh-CN"/>
        </w:rPr>
        <w:t>。</w:t>
      </w:r>
      <w:r>
        <w:rPr>
          <w:rFonts w:hint="default" w:ascii="Times New Roman" w:hAnsi="Times New Roman" w:eastAsia="仿宋_GB2312" w:cs="Times New Roman"/>
          <w:color w:val="auto"/>
          <w:highlight w:val="none"/>
          <w:shd w:val="clear" w:color="auto" w:fill="auto"/>
          <w:lang w:val="en-US" w:eastAsia="zh-CN"/>
        </w:rPr>
        <w:t>主要建</w:t>
      </w:r>
      <w:r>
        <w:rPr>
          <w:rFonts w:hint="eastAsia" w:cs="Times New Roman"/>
          <w:color w:val="auto"/>
          <w:highlight w:val="none"/>
          <w:shd w:val="clear" w:color="auto" w:fill="auto"/>
          <w:lang w:val="en-US" w:eastAsia="zh-CN"/>
        </w:rPr>
        <w:t>设内容为</w:t>
      </w:r>
      <w:r>
        <w:rPr>
          <w:rFonts w:hint="default"/>
          <w:color w:val="auto"/>
          <w:lang w:val="en-US" w:eastAsia="zh-CN"/>
        </w:rPr>
        <w:t>新建</w:t>
      </w:r>
      <w:r>
        <w:rPr>
          <w:rFonts w:hint="eastAsia"/>
          <w:color w:val="auto"/>
          <w:lang w:val="en-US" w:eastAsia="zh-CN"/>
        </w:rPr>
        <w:t>仓库、门卫值班室、装卸车场地乙炔生产装置区及</w:t>
      </w:r>
      <w:r>
        <w:rPr>
          <w:rFonts w:hint="eastAsia"/>
          <w:color w:val="auto"/>
        </w:rPr>
        <w:t>配套建设相应的消防、环保等设施设备</w:t>
      </w:r>
      <w:r>
        <w:rPr>
          <w:rFonts w:hint="eastAsia"/>
          <w:color w:val="auto"/>
          <w:lang w:eastAsia="zh-CN"/>
        </w:rPr>
        <w:t>，</w:t>
      </w:r>
      <w:r>
        <w:rPr>
          <w:rFonts w:hint="eastAsia"/>
          <w:color w:val="auto"/>
          <w:lang w:val="en-US" w:eastAsia="zh-CN"/>
        </w:rPr>
        <w:t>全部为独立基础框架结构。</w:t>
      </w:r>
    </w:p>
    <w:p w14:paraId="72596511">
      <w:pPr>
        <w:pStyle w:val="35"/>
        <w:bidi w:val="0"/>
        <w:rPr>
          <w:rFonts w:hint="eastAsia"/>
          <w:color w:val="auto"/>
          <w:lang w:val="en-US" w:eastAsia="zh-CN"/>
        </w:rPr>
      </w:pPr>
      <w:r>
        <w:rPr>
          <w:rFonts w:hint="eastAsia"/>
          <w:color w:val="auto"/>
          <w:lang w:val="en-US" w:eastAsia="zh-CN"/>
        </w:rPr>
        <w:t>表2.1-2项目主要经济技术指标表</w:t>
      </w:r>
    </w:p>
    <w:p w14:paraId="08D690AB">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lang w:val="en-US" w:eastAsia="zh-CN"/>
        </w:rPr>
      </w:pPr>
      <w:r>
        <w:drawing>
          <wp:inline distT="0" distB="0" distL="114300" distR="114300">
            <wp:extent cx="5538470" cy="2632710"/>
            <wp:effectExtent l="0" t="0" r="5080" b="1524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32"/>
                    <a:stretch>
                      <a:fillRect/>
                    </a:stretch>
                  </pic:blipFill>
                  <pic:spPr>
                    <a:xfrm>
                      <a:off x="0" y="0"/>
                      <a:ext cx="5538470" cy="2632710"/>
                    </a:xfrm>
                    <a:prstGeom prst="rect">
                      <a:avLst/>
                    </a:prstGeom>
                    <a:noFill/>
                    <a:ln>
                      <a:noFill/>
                    </a:ln>
                  </pic:spPr>
                </pic:pic>
              </a:graphicData>
            </a:graphic>
          </wp:inline>
        </w:drawing>
      </w:r>
    </w:p>
    <w:p w14:paraId="1BF7F07A">
      <w:pPr>
        <w:bidi w:val="0"/>
        <w:rPr>
          <w:rFonts w:hint="default"/>
          <w:color w:val="auto"/>
          <w:lang w:val="en-US" w:eastAsia="zh-CN"/>
        </w:rPr>
      </w:pPr>
      <w:r>
        <w:rPr>
          <w:rFonts w:hint="eastAsia"/>
          <w:color w:val="auto"/>
          <w:lang w:val="en-US" w:eastAsia="zh-CN"/>
        </w:rPr>
        <w:t>（2）道路硬化</w:t>
      </w:r>
    </w:p>
    <w:p w14:paraId="30412155">
      <w:pPr>
        <w:keepNext w:val="0"/>
        <w:keepLines w:val="0"/>
        <w:pageBreakBefore w:val="0"/>
        <w:widowControl w:val="0"/>
        <w:kinsoku/>
        <w:wordWrap/>
        <w:overflowPunct/>
        <w:topLinePunct w:val="0"/>
        <w:autoSpaceDE/>
        <w:autoSpaceDN/>
        <w:bidi w:val="0"/>
        <w:adjustRightInd/>
        <w:snapToGrid/>
        <w:ind w:firstLine="480"/>
        <w:textAlignment w:val="auto"/>
        <w:rPr>
          <w:rFonts w:hint="default"/>
          <w:color w:val="auto"/>
          <w:highlight w:val="none"/>
          <w:shd w:val="clear" w:color="auto" w:fill="auto"/>
          <w:lang w:val="en-US" w:eastAsia="zh-CN"/>
        </w:rPr>
      </w:pPr>
      <w:r>
        <w:rPr>
          <w:rFonts w:hint="default" w:ascii="Times New Roman" w:hAnsi="Times New Roman" w:eastAsia="仿宋_GB2312" w:cs="Times New Roman"/>
          <w:b w:val="0"/>
          <w:bCs w:val="0"/>
          <w:color w:val="auto"/>
          <w:kern w:val="0"/>
          <w:sz w:val="24"/>
          <w:szCs w:val="22"/>
          <w:highlight w:val="none"/>
          <w:shd w:val="clear" w:color="auto" w:fill="auto"/>
          <w:lang w:val="en-US" w:eastAsia="zh-CN" w:bidi="ar-SA"/>
        </w:rPr>
        <w:t>道路硬化区占地</w:t>
      </w:r>
      <w:r>
        <w:rPr>
          <w:rFonts w:hint="eastAsia" w:cs="Times New Roman"/>
          <w:b w:val="0"/>
          <w:bCs w:val="0"/>
          <w:color w:val="auto"/>
          <w:kern w:val="0"/>
          <w:sz w:val="24"/>
          <w:szCs w:val="22"/>
          <w:highlight w:val="none"/>
          <w:shd w:val="clear" w:color="auto" w:fill="auto"/>
          <w:lang w:val="en-US" w:eastAsia="zh-CN" w:bidi="ar-SA"/>
        </w:rPr>
        <w:t>2.11h</w:t>
      </w:r>
      <w:r>
        <w:rPr>
          <w:rFonts w:hint="default" w:ascii="Times New Roman" w:hAnsi="Times New Roman" w:eastAsia="仿宋_GB2312" w:cs="Times New Roman"/>
          <w:b w:val="0"/>
          <w:bCs w:val="0"/>
          <w:color w:val="auto"/>
          <w:kern w:val="0"/>
          <w:sz w:val="24"/>
          <w:szCs w:val="22"/>
          <w:highlight w:val="none"/>
          <w:shd w:val="clear" w:color="auto" w:fill="auto"/>
          <w:lang w:val="en-US" w:eastAsia="zh-CN" w:bidi="ar-SA"/>
        </w:rPr>
        <w:t>m</w:t>
      </w:r>
      <w:r>
        <w:rPr>
          <w:rFonts w:hint="default" w:ascii="Times New Roman" w:hAnsi="Times New Roman" w:eastAsia="仿宋_GB2312" w:cs="Times New Roman"/>
          <w:b w:val="0"/>
          <w:bCs w:val="0"/>
          <w:color w:val="auto"/>
          <w:kern w:val="0"/>
          <w:sz w:val="24"/>
          <w:szCs w:val="22"/>
          <w:highlight w:val="none"/>
          <w:shd w:val="clear" w:color="auto" w:fill="auto"/>
          <w:vertAlign w:val="superscript"/>
          <w:lang w:val="en-US" w:eastAsia="zh-CN" w:bidi="ar-SA"/>
        </w:rPr>
        <w:t>2</w:t>
      </w:r>
      <w:r>
        <w:rPr>
          <w:rFonts w:hint="default" w:ascii="Times New Roman" w:hAnsi="Times New Roman" w:eastAsia="仿宋_GB2312" w:cs="Times New Roman"/>
          <w:b w:val="0"/>
          <w:bCs w:val="0"/>
          <w:color w:val="auto"/>
          <w:kern w:val="0"/>
          <w:sz w:val="24"/>
          <w:szCs w:val="22"/>
          <w:highlight w:val="none"/>
          <w:shd w:val="clear" w:color="auto" w:fill="auto"/>
          <w:lang w:val="en-US" w:eastAsia="zh-CN" w:bidi="ar-SA"/>
        </w:rPr>
        <w:t>，主要包括</w:t>
      </w:r>
      <w:r>
        <w:rPr>
          <w:rFonts w:hint="eastAsia" w:cs="Times New Roman"/>
          <w:b w:val="0"/>
          <w:bCs w:val="0"/>
          <w:color w:val="auto"/>
          <w:kern w:val="0"/>
          <w:sz w:val="24"/>
          <w:szCs w:val="22"/>
          <w:highlight w:val="none"/>
          <w:shd w:val="clear" w:color="auto" w:fill="auto"/>
          <w:lang w:val="en-US" w:eastAsia="zh-CN" w:bidi="ar-SA"/>
        </w:rPr>
        <w:t>厂区</w:t>
      </w:r>
      <w:r>
        <w:rPr>
          <w:rFonts w:hint="default" w:ascii="Times New Roman" w:hAnsi="Times New Roman" w:eastAsia="仿宋_GB2312" w:cs="Times New Roman"/>
          <w:b w:val="0"/>
          <w:bCs w:val="0"/>
          <w:color w:val="auto"/>
          <w:kern w:val="0"/>
          <w:sz w:val="24"/>
          <w:szCs w:val="22"/>
          <w:highlight w:val="none"/>
          <w:shd w:val="clear" w:color="auto" w:fill="auto"/>
          <w:lang w:val="en-US" w:eastAsia="zh-CN" w:bidi="ar-SA"/>
        </w:rPr>
        <w:t>建筑周边</w:t>
      </w:r>
      <w:r>
        <w:rPr>
          <w:rFonts w:hint="eastAsia" w:cs="Times New Roman"/>
          <w:b w:val="0"/>
          <w:bCs w:val="0"/>
          <w:color w:val="auto"/>
          <w:kern w:val="0"/>
          <w:sz w:val="24"/>
          <w:szCs w:val="22"/>
          <w:highlight w:val="none"/>
          <w:shd w:val="clear" w:color="auto" w:fill="auto"/>
          <w:lang w:val="en-US" w:eastAsia="zh-CN" w:bidi="ar-SA"/>
        </w:rPr>
        <w:t>消防</w:t>
      </w:r>
      <w:r>
        <w:rPr>
          <w:rFonts w:hint="default" w:ascii="Times New Roman" w:hAnsi="Times New Roman" w:eastAsia="仿宋_GB2312" w:cs="Times New Roman"/>
          <w:b w:val="0"/>
          <w:bCs w:val="0"/>
          <w:color w:val="auto"/>
          <w:kern w:val="0"/>
          <w:sz w:val="24"/>
          <w:szCs w:val="22"/>
          <w:highlight w:val="none"/>
          <w:shd w:val="clear" w:color="auto" w:fill="auto"/>
          <w:lang w:val="en-US" w:eastAsia="zh-CN" w:bidi="ar-SA"/>
        </w:rPr>
        <w:t>道路、</w:t>
      </w:r>
      <w:r>
        <w:rPr>
          <w:rFonts w:hint="eastAsia" w:cs="Times New Roman"/>
          <w:b w:val="0"/>
          <w:bCs w:val="0"/>
          <w:color w:val="auto"/>
          <w:kern w:val="0"/>
          <w:sz w:val="24"/>
          <w:szCs w:val="22"/>
          <w:highlight w:val="none"/>
          <w:shd w:val="clear" w:color="auto" w:fill="auto"/>
          <w:lang w:val="en-US" w:eastAsia="zh-CN" w:bidi="ar-SA"/>
        </w:rPr>
        <w:t>原料及产品运输道路及其他</w:t>
      </w:r>
      <w:r>
        <w:rPr>
          <w:rFonts w:hint="default" w:ascii="Times New Roman" w:hAnsi="Times New Roman" w:eastAsia="仿宋_GB2312" w:cs="Times New Roman"/>
          <w:b w:val="0"/>
          <w:bCs w:val="0"/>
          <w:color w:val="auto"/>
          <w:kern w:val="0"/>
          <w:sz w:val="24"/>
          <w:szCs w:val="22"/>
          <w:highlight w:val="none"/>
          <w:shd w:val="clear" w:color="auto" w:fill="auto"/>
          <w:lang w:val="en-US" w:eastAsia="zh-CN" w:bidi="ar-SA"/>
        </w:rPr>
        <w:t>硬化区域。</w:t>
      </w:r>
      <w:r>
        <w:rPr>
          <w:rFonts w:hint="eastAsia" w:ascii="Times New Roman" w:hAnsi="Times New Roman" w:eastAsia="仿宋_GB2312" w:cs="Times New Roman"/>
          <w:color w:val="auto"/>
          <w:kern w:val="0"/>
          <w:highlight w:val="none"/>
          <w:shd w:val="clear" w:color="auto" w:fill="auto"/>
          <w:lang w:val="en-US" w:eastAsia="zh-CN"/>
        </w:rPr>
        <w:t>道路</w:t>
      </w:r>
      <w:r>
        <w:rPr>
          <w:rFonts w:hint="default" w:ascii="Times New Roman" w:hAnsi="Times New Roman" w:eastAsia="仿宋_GB2312" w:cs="Times New Roman"/>
          <w:color w:val="auto"/>
          <w:kern w:val="0"/>
          <w:highlight w:val="none"/>
          <w:shd w:val="clear" w:color="auto" w:fill="auto"/>
        </w:rPr>
        <w:t>地表设置</w:t>
      </w:r>
      <w:r>
        <w:rPr>
          <w:rFonts w:hint="eastAsia" w:ascii="Times New Roman" w:hAnsi="Times New Roman" w:eastAsia="仿宋_GB2312" w:cs="Times New Roman"/>
          <w:color w:val="auto"/>
          <w:kern w:val="0"/>
          <w:highlight w:val="none"/>
          <w:shd w:val="clear" w:color="auto" w:fill="auto"/>
          <w:lang w:val="en-US" w:eastAsia="zh-CN"/>
        </w:rPr>
        <w:t>单篦式</w:t>
      </w:r>
      <w:r>
        <w:rPr>
          <w:rFonts w:hint="default" w:ascii="Times New Roman" w:hAnsi="Times New Roman" w:eastAsia="仿宋_GB2312" w:cs="Times New Roman"/>
          <w:color w:val="auto"/>
          <w:kern w:val="0"/>
          <w:highlight w:val="none"/>
          <w:shd w:val="clear" w:color="auto" w:fill="auto"/>
        </w:rPr>
        <w:t>雨水口用于收集地表雨水，地表雨水经雨水口收集后汇入厂区内四川巨宏新材料有限责任公司已建设施地下雨水管网系统</w:t>
      </w:r>
      <w:r>
        <w:rPr>
          <w:rFonts w:hint="eastAsia" w:cs="Times New Roman"/>
          <w:color w:val="auto"/>
          <w:kern w:val="0"/>
          <w:highlight w:val="none"/>
          <w:shd w:val="clear" w:color="auto" w:fill="auto"/>
          <w:lang w:eastAsia="zh-CN"/>
        </w:rPr>
        <w:t>。</w:t>
      </w:r>
      <w:r>
        <w:rPr>
          <w:rFonts w:hint="eastAsia" w:eastAsia="仿宋_GB2312"/>
          <w:color w:val="auto"/>
          <w:highlight w:val="none"/>
          <w:shd w:val="clear" w:color="auto" w:fill="auto"/>
          <w:lang w:val="en-US" w:eastAsia="zh-CN"/>
        </w:rPr>
        <w:t>正</w:t>
      </w:r>
      <w:r>
        <w:rPr>
          <w:rFonts w:hint="eastAsia"/>
          <w:color w:val="auto"/>
          <w:highlight w:val="none"/>
          <w:shd w:val="clear" w:color="auto" w:fill="auto"/>
          <w:lang w:val="en-US" w:eastAsia="zh-CN"/>
        </w:rPr>
        <w:t>北</w:t>
      </w:r>
      <w:r>
        <w:rPr>
          <w:rFonts w:hint="eastAsia" w:eastAsia="仿宋_GB2312"/>
          <w:color w:val="auto"/>
          <w:highlight w:val="none"/>
          <w:shd w:val="clear" w:color="auto" w:fill="auto"/>
          <w:lang w:val="en-US" w:eastAsia="zh-CN"/>
        </w:rPr>
        <w:t>方向</w:t>
      </w:r>
      <w:r>
        <w:rPr>
          <w:rFonts w:hint="eastAsia"/>
          <w:color w:val="auto"/>
          <w:highlight w:val="none"/>
          <w:shd w:val="clear" w:color="auto" w:fill="auto"/>
          <w:lang w:val="en-US" w:eastAsia="zh-CN"/>
        </w:rPr>
        <w:t>、正南方向各</w:t>
      </w:r>
      <w:r>
        <w:rPr>
          <w:rFonts w:hint="eastAsia" w:eastAsia="仿宋_GB2312"/>
          <w:color w:val="auto"/>
          <w:highlight w:val="none"/>
          <w:shd w:val="clear" w:color="auto" w:fill="auto"/>
          <w:lang w:val="en-US" w:eastAsia="zh-CN"/>
        </w:rPr>
        <w:t>设置一个出入口</w:t>
      </w:r>
      <w:r>
        <w:rPr>
          <w:rFonts w:hint="eastAsia"/>
          <w:color w:val="auto"/>
          <w:highlight w:val="none"/>
          <w:shd w:val="clear" w:color="auto" w:fill="auto"/>
          <w:lang w:val="en-US" w:eastAsia="zh-CN"/>
        </w:rPr>
        <w:t>，</w:t>
      </w:r>
      <w:r>
        <w:rPr>
          <w:color w:val="auto"/>
          <w:sz w:val="24"/>
          <w:szCs w:val="24"/>
          <w:highlight w:val="none"/>
          <w:shd w:val="clear" w:color="auto" w:fill="auto"/>
        </w:rPr>
        <w:t>车行道路设计均为</w:t>
      </w:r>
      <w:r>
        <w:rPr>
          <w:rFonts w:hint="eastAsia"/>
          <w:color w:val="auto"/>
          <w:sz w:val="24"/>
          <w:szCs w:val="24"/>
          <w:highlight w:val="none"/>
          <w:shd w:val="clear" w:color="auto" w:fill="auto"/>
        </w:rPr>
        <w:t>城市型沥青</w:t>
      </w:r>
      <w:r>
        <w:rPr>
          <w:color w:val="auto"/>
          <w:sz w:val="24"/>
          <w:szCs w:val="24"/>
          <w:highlight w:val="none"/>
          <w:shd w:val="clear" w:color="auto" w:fill="auto"/>
        </w:rPr>
        <w:t>混凝土</w:t>
      </w:r>
      <w:r>
        <w:rPr>
          <w:rFonts w:hint="eastAsia"/>
          <w:color w:val="auto"/>
          <w:sz w:val="24"/>
          <w:szCs w:val="24"/>
          <w:highlight w:val="none"/>
          <w:shd w:val="clear" w:color="auto" w:fill="auto"/>
        </w:rPr>
        <w:t>车道</w:t>
      </w:r>
      <w:r>
        <w:rPr>
          <w:rFonts w:hint="eastAsia"/>
          <w:color w:val="auto"/>
          <w:sz w:val="24"/>
          <w:szCs w:val="24"/>
          <w:highlight w:val="none"/>
          <w:shd w:val="clear" w:color="auto" w:fill="auto"/>
          <w:lang w:eastAsia="zh-CN"/>
        </w:rPr>
        <w:t>，</w:t>
      </w:r>
      <w:r>
        <w:rPr>
          <w:rFonts w:hint="eastAsia"/>
          <w:color w:val="auto"/>
          <w:sz w:val="24"/>
          <w:szCs w:val="24"/>
          <w:highlight w:val="none"/>
          <w:shd w:val="clear" w:color="auto" w:fill="auto"/>
          <w:lang w:val="en-US" w:eastAsia="zh-CN"/>
        </w:rPr>
        <w:t>消防</w:t>
      </w:r>
      <w:r>
        <w:rPr>
          <w:rFonts w:hint="eastAsia" w:eastAsia="仿宋_GB2312"/>
          <w:color w:val="auto"/>
          <w:highlight w:val="none"/>
          <w:shd w:val="clear" w:color="auto" w:fill="auto"/>
          <w:lang w:val="en-US" w:eastAsia="zh-CN"/>
        </w:rPr>
        <w:t>道路宽度为</w:t>
      </w:r>
      <w:r>
        <w:rPr>
          <w:rFonts w:hint="eastAsia"/>
          <w:color w:val="auto"/>
          <w:highlight w:val="none"/>
          <w:shd w:val="clear" w:color="auto" w:fill="auto"/>
          <w:lang w:val="en-US" w:eastAsia="zh-CN"/>
        </w:rPr>
        <w:t>8</w:t>
      </w:r>
      <w:r>
        <w:rPr>
          <w:rFonts w:hint="eastAsia" w:eastAsia="仿宋_GB2312"/>
          <w:color w:val="auto"/>
          <w:highlight w:val="none"/>
          <w:shd w:val="clear" w:color="auto" w:fill="auto"/>
          <w:lang w:val="en-US" w:eastAsia="zh-CN"/>
        </w:rPr>
        <w:t>m</w:t>
      </w:r>
      <w:r>
        <w:rPr>
          <w:rFonts w:hint="eastAsia"/>
          <w:color w:val="auto"/>
          <w:highlight w:val="none"/>
          <w:shd w:val="clear" w:color="auto" w:fill="auto"/>
          <w:lang w:val="en-US" w:eastAsia="zh-CN"/>
        </w:rPr>
        <w:t>，</w:t>
      </w:r>
      <w:r>
        <w:rPr>
          <w:rFonts w:hint="eastAsia" w:eastAsia="仿宋_GB2312"/>
          <w:color w:val="auto"/>
          <w:highlight w:val="none"/>
          <w:shd w:val="clear" w:color="auto" w:fill="auto"/>
          <w:lang w:val="en-US" w:eastAsia="zh-CN"/>
        </w:rPr>
        <w:t>场地内</w:t>
      </w:r>
      <w:r>
        <w:rPr>
          <w:rFonts w:hint="eastAsia"/>
          <w:color w:val="auto"/>
          <w:highlight w:val="none"/>
          <w:shd w:val="clear" w:color="auto" w:fill="auto"/>
          <w:lang w:val="en-US" w:eastAsia="zh-CN"/>
        </w:rPr>
        <w:t>运输</w:t>
      </w:r>
      <w:r>
        <w:rPr>
          <w:rFonts w:hint="eastAsia" w:eastAsia="仿宋_GB2312"/>
          <w:color w:val="auto"/>
          <w:highlight w:val="none"/>
          <w:shd w:val="clear" w:color="auto" w:fill="auto"/>
          <w:lang w:val="en-US" w:eastAsia="zh-CN"/>
        </w:rPr>
        <w:t>道路宽度</w:t>
      </w:r>
      <w:r>
        <w:rPr>
          <w:rFonts w:hint="eastAsia"/>
          <w:color w:val="auto"/>
          <w:highlight w:val="none"/>
          <w:shd w:val="clear" w:color="auto" w:fill="auto"/>
          <w:lang w:val="en-US" w:eastAsia="zh-CN"/>
        </w:rPr>
        <w:t>6</w:t>
      </w:r>
      <w:r>
        <w:rPr>
          <w:rFonts w:hint="eastAsia" w:eastAsia="仿宋_GB2312"/>
          <w:color w:val="auto"/>
          <w:highlight w:val="none"/>
          <w:shd w:val="clear" w:color="auto" w:fill="auto"/>
          <w:lang w:val="en-US" w:eastAsia="zh-CN"/>
        </w:rPr>
        <w:t>米</w:t>
      </w:r>
      <w:r>
        <w:rPr>
          <w:rFonts w:hint="eastAsia"/>
          <w:color w:val="auto"/>
          <w:highlight w:val="none"/>
          <w:shd w:val="clear" w:color="auto" w:fill="auto"/>
          <w:lang w:val="en-US" w:eastAsia="zh-CN"/>
        </w:rPr>
        <w:t>。</w:t>
      </w:r>
    </w:p>
    <w:p w14:paraId="0EAC3F28">
      <w:pPr>
        <w:ind w:firstLine="480"/>
        <w:rPr>
          <w:rFonts w:eastAsia="仿宋_GB2312"/>
          <w:color w:val="auto"/>
          <w:highlight w:val="none"/>
        </w:rPr>
      </w:pPr>
      <w:r>
        <w:rPr>
          <w:rFonts w:eastAsia="仿宋_GB2312"/>
          <w:color w:val="auto"/>
          <w:highlight w:val="none"/>
        </w:rPr>
        <w:t>（</w:t>
      </w:r>
      <w:r>
        <w:rPr>
          <w:rFonts w:hint="eastAsia"/>
          <w:color w:val="auto"/>
          <w:highlight w:val="none"/>
          <w:lang w:val="en-US" w:eastAsia="zh-CN"/>
        </w:rPr>
        <w:t>3</w:t>
      </w:r>
      <w:r>
        <w:rPr>
          <w:rFonts w:eastAsia="仿宋_GB2312"/>
          <w:color w:val="auto"/>
          <w:highlight w:val="none"/>
        </w:rPr>
        <w:t>）附属工程</w:t>
      </w:r>
    </w:p>
    <w:p w14:paraId="74816BF9">
      <w:pPr>
        <w:ind w:firstLine="480"/>
        <w:rPr>
          <w:rFonts w:eastAsia="仿宋_GB2312"/>
          <w:color w:val="auto"/>
          <w:highlight w:val="none"/>
        </w:rPr>
      </w:pPr>
      <w:r>
        <w:rPr>
          <w:rFonts w:eastAsia="仿宋_GB2312"/>
          <w:color w:val="auto"/>
          <w:highlight w:val="none"/>
        </w:rPr>
        <w:t>本项目</w:t>
      </w:r>
      <w:r>
        <w:rPr>
          <w:rFonts w:hint="eastAsia"/>
          <w:color w:val="auto"/>
          <w:highlight w:val="none"/>
          <w:lang w:val="en-US" w:eastAsia="zh-CN"/>
        </w:rPr>
        <w:t>位于四川巨宏新材料有限责任公司厂区范围内，四川巨宏新材料有限责任公司厂区</w:t>
      </w:r>
      <w:r>
        <w:rPr>
          <w:rFonts w:eastAsia="仿宋_GB2312"/>
          <w:color w:val="auto"/>
          <w:highlight w:val="none"/>
        </w:rPr>
        <w:t>给水、雨污管网系统</w:t>
      </w:r>
      <w:r>
        <w:rPr>
          <w:rFonts w:hint="eastAsia"/>
          <w:color w:val="auto"/>
          <w:highlight w:val="none"/>
          <w:lang w:val="en-US" w:eastAsia="zh-CN"/>
        </w:rPr>
        <w:t>已修建</w:t>
      </w:r>
      <w:r>
        <w:rPr>
          <w:rFonts w:eastAsia="仿宋_GB2312"/>
          <w:color w:val="auto"/>
          <w:highlight w:val="none"/>
        </w:rPr>
        <w:t>完善，本项目给水、雨污管直接接入</w:t>
      </w:r>
      <w:r>
        <w:rPr>
          <w:rFonts w:hint="eastAsia"/>
          <w:color w:val="auto"/>
          <w:highlight w:val="none"/>
          <w:lang w:val="en-US" w:eastAsia="zh-CN"/>
        </w:rPr>
        <w:t>厂区</w:t>
      </w:r>
      <w:r>
        <w:rPr>
          <w:rFonts w:eastAsia="仿宋_GB2312"/>
          <w:color w:val="auto"/>
          <w:highlight w:val="none"/>
        </w:rPr>
        <w:t>预留接口，不需要破除红线外</w:t>
      </w:r>
      <w:r>
        <w:rPr>
          <w:rFonts w:hint="eastAsia"/>
          <w:color w:val="auto"/>
          <w:highlight w:val="none"/>
          <w:lang w:val="en-US" w:eastAsia="zh-CN"/>
        </w:rPr>
        <w:t>市政</w:t>
      </w:r>
      <w:r>
        <w:rPr>
          <w:rFonts w:eastAsia="仿宋_GB2312"/>
          <w:color w:val="auto"/>
          <w:highlight w:val="none"/>
        </w:rPr>
        <w:t>道路。</w:t>
      </w:r>
    </w:p>
    <w:p w14:paraId="141D2F4E">
      <w:pPr>
        <w:numPr>
          <w:ilvl w:val="0"/>
          <w:numId w:val="8"/>
        </w:numPr>
        <w:ind w:firstLine="480"/>
        <w:rPr>
          <w:rFonts w:eastAsia="仿宋_GB2312"/>
          <w:color w:val="auto"/>
          <w:highlight w:val="none"/>
        </w:rPr>
      </w:pPr>
      <w:r>
        <w:rPr>
          <w:rFonts w:eastAsia="仿宋_GB2312"/>
          <w:color w:val="auto"/>
          <w:highlight w:val="none"/>
        </w:rPr>
        <w:t>给排水系统</w:t>
      </w:r>
    </w:p>
    <w:p w14:paraId="23F3D4D9">
      <w:pPr>
        <w:bidi w:val="0"/>
        <w:rPr>
          <w:color w:val="auto"/>
        </w:rPr>
      </w:pPr>
      <w:r>
        <w:rPr>
          <w:rFonts w:hint="eastAsia"/>
          <w:color w:val="auto"/>
        </w:rPr>
        <w:t>本工程水源为城市自来水。</w:t>
      </w:r>
      <w:r>
        <w:rPr>
          <w:rFonts w:hint="eastAsia"/>
          <w:color w:val="auto"/>
          <w:lang w:val="en-US" w:eastAsia="zh-CN"/>
        </w:rPr>
        <w:t>本项目选址位于</w:t>
      </w:r>
      <w:r>
        <w:rPr>
          <w:rFonts w:hint="eastAsia"/>
          <w:color w:val="auto"/>
          <w:highlight w:val="none"/>
          <w:lang w:val="en-US" w:eastAsia="zh-CN"/>
        </w:rPr>
        <w:t>四川巨宏新材料有限责任公司厂区</w:t>
      </w:r>
      <w:r>
        <w:rPr>
          <w:rFonts w:hint="eastAsia"/>
          <w:color w:val="auto"/>
          <w:lang w:val="en-US" w:eastAsia="zh-CN"/>
        </w:rPr>
        <w:t>，园区周围已有完善的给、排水系统，可直接利用现有给、排水系统。</w:t>
      </w:r>
    </w:p>
    <w:p w14:paraId="0C86D0F0">
      <w:pPr>
        <w:ind w:firstLine="480"/>
        <w:rPr>
          <w:rFonts w:eastAsia="仿宋_GB2312"/>
          <w:color w:val="auto"/>
          <w:highlight w:val="none"/>
        </w:rPr>
      </w:pPr>
      <w:r>
        <w:rPr>
          <w:rFonts w:eastAsia="仿宋_GB2312"/>
          <w:color w:val="auto"/>
          <w:highlight w:val="none"/>
        </w:rPr>
        <w:t>2）供电系统：</w:t>
      </w:r>
    </w:p>
    <w:p w14:paraId="26F5BE4C">
      <w:pPr>
        <w:rPr>
          <w:rFonts w:hint="eastAsia"/>
          <w:color w:val="auto"/>
          <w:highlight w:val="none"/>
        </w:rPr>
      </w:pPr>
      <w:r>
        <w:rPr>
          <w:rFonts w:hint="eastAsia"/>
          <w:color w:val="auto"/>
          <w:highlight w:val="none"/>
          <w:lang w:val="en-US" w:eastAsia="zh-CN"/>
        </w:rPr>
        <w:t>本项目用电由市政电网供给</w:t>
      </w:r>
      <w:r>
        <w:rPr>
          <w:rFonts w:hint="eastAsia"/>
          <w:color w:val="auto"/>
          <w:highlight w:val="none"/>
        </w:rPr>
        <w:t>。</w:t>
      </w:r>
    </w:p>
    <w:p w14:paraId="2163E9D5">
      <w:pPr>
        <w:pStyle w:val="5"/>
        <w:rPr>
          <w:color w:val="auto"/>
        </w:rPr>
      </w:pPr>
      <w:r>
        <w:rPr>
          <w:rFonts w:hint="eastAsia"/>
          <w:color w:val="auto"/>
        </w:rPr>
        <w:t>2.1.</w:t>
      </w:r>
      <w:r>
        <w:rPr>
          <w:rFonts w:hint="eastAsia"/>
          <w:color w:val="auto"/>
          <w:lang w:val="en-US" w:eastAsia="zh-CN"/>
        </w:rPr>
        <w:t>4</w:t>
      </w:r>
      <w:r>
        <w:rPr>
          <w:rFonts w:hint="eastAsia"/>
          <w:color w:val="auto"/>
        </w:rPr>
        <w:t>工程布置</w:t>
      </w:r>
    </w:p>
    <w:p w14:paraId="666DD85E">
      <w:pPr>
        <w:pStyle w:val="5"/>
        <w:rPr>
          <w:rFonts w:hint="eastAsia"/>
          <w:color w:val="auto"/>
          <w:lang w:val="en-US" w:eastAsia="zh-CN"/>
        </w:rPr>
      </w:pPr>
      <w:r>
        <w:rPr>
          <w:rFonts w:hint="eastAsia"/>
          <w:color w:val="auto"/>
        </w:rPr>
        <w:t>2</w:t>
      </w:r>
      <w:r>
        <w:rPr>
          <w:color w:val="auto"/>
        </w:rPr>
        <w:t>.1.</w:t>
      </w:r>
      <w:r>
        <w:rPr>
          <w:rFonts w:hint="eastAsia"/>
          <w:color w:val="auto"/>
          <w:lang w:val="en-US" w:eastAsia="zh-CN"/>
        </w:rPr>
        <w:t>1项目基本情况</w:t>
      </w:r>
    </w:p>
    <w:p w14:paraId="1CFB9B0A">
      <w:pPr>
        <w:ind w:firstLine="480"/>
        <w:rPr>
          <w:color w:val="auto"/>
        </w:rPr>
      </w:pPr>
      <w:r>
        <w:rPr>
          <w:color w:val="auto"/>
        </w:rPr>
        <w:t>项目名称：</w:t>
      </w:r>
      <w:r>
        <w:rPr>
          <w:rFonts w:hint="eastAsia"/>
          <w:color w:val="auto"/>
          <w:lang w:eastAsia="zh-CN"/>
        </w:rPr>
        <w:t>乙炔生产工厂和充装站一期项目</w:t>
      </w:r>
      <w:r>
        <w:rPr>
          <w:color w:val="auto"/>
        </w:rPr>
        <w:t>；</w:t>
      </w:r>
    </w:p>
    <w:p w14:paraId="252884F6">
      <w:pPr>
        <w:ind w:firstLine="480"/>
        <w:rPr>
          <w:color w:val="auto"/>
        </w:rPr>
      </w:pPr>
      <w:r>
        <w:rPr>
          <w:color w:val="auto"/>
        </w:rPr>
        <w:t>建设单位：</w:t>
      </w:r>
      <w:r>
        <w:rPr>
          <w:rFonts w:hint="eastAsia"/>
          <w:color w:val="auto"/>
          <w:lang w:eastAsia="zh-CN"/>
        </w:rPr>
        <w:t>四川虹炬精细化工有限责任公司</w:t>
      </w:r>
      <w:r>
        <w:rPr>
          <w:color w:val="auto"/>
        </w:rPr>
        <w:t>；</w:t>
      </w:r>
    </w:p>
    <w:p w14:paraId="486782BC">
      <w:pPr>
        <w:ind w:firstLine="480"/>
        <w:rPr>
          <w:color w:val="auto"/>
        </w:rPr>
      </w:pPr>
      <w:r>
        <w:rPr>
          <w:color w:val="auto"/>
        </w:rPr>
        <w:t>建设地点：</w:t>
      </w:r>
      <w:r>
        <w:rPr>
          <w:rFonts w:hint="eastAsia"/>
          <w:color w:val="auto"/>
          <w:lang w:val="en-US" w:eastAsia="zh-CN"/>
        </w:rPr>
        <w:t>四川</w:t>
      </w:r>
      <w:r>
        <w:rPr>
          <w:rFonts w:hint="eastAsia"/>
          <w:color w:val="auto"/>
          <w:lang w:eastAsia="zh-CN"/>
        </w:rPr>
        <w:t>省雅安市经开区草坝镇永兴大道中段699号</w:t>
      </w:r>
      <w:r>
        <w:rPr>
          <w:color w:val="auto"/>
        </w:rPr>
        <w:t>；</w:t>
      </w:r>
    </w:p>
    <w:p w14:paraId="4613352B">
      <w:pPr>
        <w:ind w:firstLine="480"/>
        <w:rPr>
          <w:color w:val="auto"/>
        </w:rPr>
      </w:pPr>
      <w:r>
        <w:rPr>
          <w:color w:val="auto"/>
        </w:rPr>
        <w:t>建设性质：</w:t>
      </w:r>
      <w:r>
        <w:rPr>
          <w:rFonts w:hint="eastAsia"/>
          <w:color w:val="auto"/>
          <w:lang w:val="en-US" w:eastAsia="zh-CN"/>
        </w:rPr>
        <w:t>新建</w:t>
      </w:r>
      <w:r>
        <w:rPr>
          <w:rFonts w:hint="eastAsia"/>
          <w:color w:val="auto"/>
          <w:lang w:eastAsia="zh-CN"/>
        </w:rPr>
        <w:t>，</w:t>
      </w:r>
      <w:r>
        <w:rPr>
          <w:rFonts w:hint="eastAsia"/>
          <w:color w:val="auto"/>
          <w:lang w:val="en-US" w:eastAsia="zh-CN"/>
        </w:rPr>
        <w:t>建设类</w:t>
      </w:r>
      <w:r>
        <w:rPr>
          <w:color w:val="auto"/>
        </w:rPr>
        <w:t>；</w:t>
      </w:r>
    </w:p>
    <w:p w14:paraId="11EF14C1">
      <w:pPr>
        <w:ind w:firstLine="480"/>
        <w:rPr>
          <w:rFonts w:hint="eastAsia" w:ascii="Times New Roman" w:hAnsi="Times New Roman" w:cs="Times New Roman"/>
          <w:color w:val="auto"/>
          <w:kern w:val="0"/>
          <w:sz w:val="24"/>
          <w:szCs w:val="24"/>
          <w:highlight w:val="none"/>
          <w:lang w:val="en-US" w:eastAsia="zh-CN" w:bidi="ar"/>
        </w:rPr>
      </w:pPr>
      <w:r>
        <w:rPr>
          <w:rFonts w:hint="eastAsia" w:eastAsia="仿宋_GB2312"/>
          <w:color w:val="auto"/>
          <w:kern w:val="0"/>
          <w:highlight w:val="none"/>
          <w:lang w:val="en-US" w:eastAsia="zh-CN"/>
        </w:rPr>
        <w:t>建设内容：</w:t>
      </w:r>
      <w:r>
        <w:rPr>
          <w:rFonts w:hint="default" w:ascii="Times New Roman" w:hAnsi="Times New Roman" w:eastAsia="仿宋_GB2312" w:cs="Times New Roman"/>
          <w:color w:val="auto"/>
          <w:kern w:val="0"/>
          <w:sz w:val="24"/>
          <w:szCs w:val="24"/>
          <w:highlight w:val="none"/>
          <w:lang w:val="en-US" w:eastAsia="zh-CN" w:bidi="ar"/>
        </w:rPr>
        <w:t>本期建设内容为新建一座乙炔生产工厂和乙炔充装站项目。 产能：1.一套产能为14000 吨/年的乙炔生产装置。2.一座产能为 1500 瓶/天的瓶装乙炔充装站。 3.工业丙烷、液化石油气、二甲醚、丙烯充装站、储存。主要设备：乙炔发生器、乙炔充装系统、环保设施设备、2 台丙烷储罐、2 台液化石油气储罐、2 台二甲醚储罐、2 台丙烯储罐。</w:t>
      </w:r>
    </w:p>
    <w:p w14:paraId="146BC84B">
      <w:pPr>
        <w:bidi w:val="0"/>
        <w:rPr>
          <w:rFonts w:hint="default" w:ascii="Times New Roman" w:hAnsi="Times New Roman" w:eastAsia="仿宋_GB2312" w:cs="Times New Roman"/>
          <w:color w:val="auto"/>
          <w:kern w:val="0"/>
          <w:highlight w:val="none"/>
          <w:lang w:val="en-US" w:eastAsia="zh-CN"/>
        </w:rPr>
      </w:pPr>
      <w:r>
        <w:rPr>
          <w:rFonts w:hint="eastAsia" w:ascii="Times New Roman" w:hAnsi="Times New Roman" w:eastAsia="仿宋_GB2312" w:cs="Times New Roman"/>
          <w:color w:val="auto"/>
          <w:kern w:val="0"/>
          <w:highlight w:val="none"/>
          <w:lang w:val="en-US" w:eastAsia="zh-CN"/>
        </w:rPr>
        <w:t>工程占地：本项目总占地面积</w:t>
      </w:r>
      <w:r>
        <w:rPr>
          <w:rFonts w:hint="eastAsia" w:cs="Times New Roman"/>
          <w:color w:val="auto"/>
          <w:highlight w:val="none"/>
          <w:lang w:val="en-US" w:eastAsia="zh-CN"/>
        </w:rPr>
        <w:t>3.66</w:t>
      </w:r>
      <w:r>
        <w:rPr>
          <w:rFonts w:hint="default" w:ascii="Times New Roman" w:hAnsi="Times New Roman" w:eastAsia="仿宋_GB2312" w:cs="Times New Roman"/>
          <w:color w:val="auto"/>
          <w:kern w:val="0"/>
          <w:highlight w:val="none"/>
        </w:rPr>
        <w:t>hm</w:t>
      </w:r>
      <w:r>
        <w:rPr>
          <w:rFonts w:hint="default" w:ascii="Times New Roman" w:hAnsi="Times New Roman" w:eastAsia="仿宋_GB2312" w:cs="Times New Roman"/>
          <w:color w:val="auto"/>
          <w:kern w:val="0"/>
          <w:highlight w:val="none"/>
          <w:vertAlign w:val="superscript"/>
        </w:rPr>
        <w:t>2</w:t>
      </w:r>
      <w:r>
        <w:rPr>
          <w:rFonts w:hint="default" w:ascii="Times New Roman" w:hAnsi="Times New Roman" w:eastAsia="仿宋_GB2312" w:cs="Times New Roman"/>
          <w:color w:val="auto"/>
          <w:highlight w:val="none"/>
        </w:rPr>
        <w:t>，</w:t>
      </w:r>
      <w:r>
        <w:rPr>
          <w:rFonts w:hint="eastAsia" w:ascii="Times New Roman" w:hAnsi="Times New Roman" w:eastAsia="仿宋_GB2312" w:cs="Times New Roman"/>
          <w:color w:val="auto"/>
          <w:highlight w:val="none"/>
          <w:lang w:val="en-US" w:eastAsia="zh-CN"/>
        </w:rPr>
        <w:t>其中永久占地</w:t>
      </w:r>
      <w:r>
        <w:rPr>
          <w:rFonts w:hint="eastAsia" w:cs="Times New Roman"/>
          <w:color w:val="auto"/>
          <w:highlight w:val="none"/>
          <w:lang w:val="en-US" w:eastAsia="zh-CN"/>
        </w:rPr>
        <w:t>3.66</w:t>
      </w:r>
      <w:r>
        <w:rPr>
          <w:rFonts w:hint="eastAsia" w:ascii="Times New Roman" w:hAnsi="Times New Roman" w:eastAsia="仿宋_GB2312" w:cs="Times New Roman"/>
          <w:color w:val="auto"/>
          <w:highlight w:val="none"/>
          <w:lang w:val="en-US" w:eastAsia="zh-CN"/>
        </w:rPr>
        <w:t>hm</w:t>
      </w:r>
      <w:r>
        <w:rPr>
          <w:rFonts w:hint="eastAsia" w:ascii="Times New Roman" w:hAnsi="Times New Roman" w:eastAsia="仿宋_GB2312" w:cs="Times New Roman"/>
          <w:color w:val="auto"/>
          <w:highlight w:val="none"/>
          <w:vertAlign w:val="superscript"/>
          <w:lang w:val="en-US" w:eastAsia="zh-CN"/>
        </w:rPr>
        <w:t>2</w:t>
      </w:r>
      <w:r>
        <w:rPr>
          <w:rFonts w:hint="eastAsia" w:ascii="Times New Roman" w:hAnsi="Times New Roman" w:eastAsia="仿宋_GB2312" w:cs="Times New Roman"/>
          <w:color w:val="auto"/>
          <w:highlight w:val="none"/>
          <w:lang w:val="en-US" w:eastAsia="zh-CN"/>
        </w:rPr>
        <w:t>，</w:t>
      </w:r>
      <w:r>
        <w:rPr>
          <w:rFonts w:hint="eastAsia" w:cs="Times New Roman"/>
          <w:color w:val="auto"/>
          <w:highlight w:val="none"/>
          <w:lang w:val="en-US" w:eastAsia="zh-CN"/>
        </w:rPr>
        <w:t>无</w:t>
      </w:r>
      <w:r>
        <w:rPr>
          <w:rFonts w:hint="eastAsia" w:ascii="Times New Roman" w:hAnsi="Times New Roman" w:eastAsia="仿宋_GB2312" w:cs="Times New Roman"/>
          <w:color w:val="auto"/>
          <w:highlight w:val="none"/>
          <w:lang w:val="en-US" w:eastAsia="zh-CN"/>
        </w:rPr>
        <w:t>临时占地</w:t>
      </w:r>
      <w:r>
        <w:rPr>
          <w:rFonts w:hint="eastAsia" w:cs="Times New Roman"/>
          <w:color w:val="auto"/>
          <w:highlight w:val="none"/>
          <w:lang w:val="en-US" w:eastAsia="zh-CN"/>
        </w:rPr>
        <w:t>。</w:t>
      </w:r>
    </w:p>
    <w:p w14:paraId="22755C77">
      <w:pPr>
        <w:bidi w:val="0"/>
        <w:rPr>
          <w:rFonts w:hint="eastAsia"/>
          <w:color w:val="auto"/>
          <w:lang w:eastAsia="zh-CN"/>
        </w:rPr>
      </w:pPr>
      <w:r>
        <w:rPr>
          <w:color w:val="auto"/>
        </w:rPr>
        <w:t>建设工期：本项目建设总工期</w:t>
      </w:r>
      <w:r>
        <w:rPr>
          <w:rFonts w:hint="eastAsia"/>
          <w:color w:val="auto"/>
          <w:lang w:val="en-US" w:eastAsia="zh-CN"/>
        </w:rPr>
        <w:t>6</w:t>
      </w:r>
      <w:r>
        <w:rPr>
          <w:rFonts w:hint="eastAsia"/>
          <w:color w:val="auto"/>
        </w:rPr>
        <w:t>个月</w:t>
      </w:r>
      <w:r>
        <w:rPr>
          <w:color w:val="auto"/>
        </w:rPr>
        <w:t>，</w:t>
      </w:r>
      <w:r>
        <w:rPr>
          <w:rFonts w:hint="eastAsia"/>
          <w:color w:val="auto"/>
          <w:lang w:val="en-US" w:eastAsia="zh-CN"/>
        </w:rPr>
        <w:t>预计</w:t>
      </w:r>
      <w:r>
        <w:rPr>
          <w:color w:val="auto"/>
        </w:rPr>
        <w:t>20</w:t>
      </w:r>
      <w:r>
        <w:rPr>
          <w:rFonts w:hint="eastAsia"/>
          <w:color w:val="auto"/>
          <w:lang w:val="en-US" w:eastAsia="zh-CN"/>
        </w:rPr>
        <w:t>25</w:t>
      </w:r>
      <w:r>
        <w:rPr>
          <w:color w:val="auto"/>
        </w:rPr>
        <w:t>年</w:t>
      </w:r>
      <w:r>
        <w:rPr>
          <w:rFonts w:hint="eastAsia"/>
          <w:color w:val="auto"/>
          <w:lang w:val="en-US" w:eastAsia="zh-CN"/>
        </w:rPr>
        <w:t>1</w:t>
      </w:r>
      <w:r>
        <w:rPr>
          <w:color w:val="auto"/>
        </w:rPr>
        <w:t>月开工，20</w:t>
      </w:r>
      <w:r>
        <w:rPr>
          <w:rFonts w:hint="eastAsia"/>
          <w:color w:val="auto"/>
          <w:lang w:val="en-US" w:eastAsia="zh-CN"/>
        </w:rPr>
        <w:t>25</w:t>
      </w:r>
      <w:r>
        <w:rPr>
          <w:color w:val="auto"/>
        </w:rPr>
        <w:t>年</w:t>
      </w:r>
      <w:r>
        <w:rPr>
          <w:rFonts w:hint="eastAsia"/>
          <w:color w:val="auto"/>
          <w:lang w:val="en-US" w:eastAsia="zh-CN"/>
        </w:rPr>
        <w:t>6</w:t>
      </w:r>
      <w:r>
        <w:rPr>
          <w:color w:val="auto"/>
        </w:rPr>
        <w:t>月完工</w:t>
      </w:r>
      <w:r>
        <w:rPr>
          <w:rFonts w:hint="eastAsia"/>
          <w:color w:val="auto"/>
          <w:lang w:eastAsia="zh-CN"/>
        </w:rPr>
        <w:t>；</w:t>
      </w:r>
    </w:p>
    <w:p w14:paraId="2DC851E3">
      <w:pPr>
        <w:bidi w:val="0"/>
        <w:rPr>
          <w:color w:val="auto"/>
        </w:rPr>
      </w:pPr>
      <w:r>
        <w:rPr>
          <w:color w:val="auto"/>
        </w:rPr>
        <w:t>项目总投资：</w:t>
      </w:r>
      <w:r>
        <w:rPr>
          <w:rFonts w:hint="eastAsia"/>
          <w:color w:val="auto"/>
          <w:lang w:val="en-US" w:eastAsia="zh-CN"/>
        </w:rPr>
        <w:t>概算</w:t>
      </w:r>
      <w:r>
        <w:rPr>
          <w:rFonts w:hint="eastAsia"/>
          <w:color w:val="auto"/>
          <w:lang w:eastAsia="zh-CN"/>
        </w:rPr>
        <w:t>总</w:t>
      </w:r>
      <w:r>
        <w:rPr>
          <w:color w:val="auto"/>
        </w:rPr>
        <w:t>投资</w:t>
      </w:r>
      <w:r>
        <w:rPr>
          <w:rFonts w:hint="eastAsia"/>
          <w:color w:val="auto"/>
          <w:lang w:val="en-US" w:eastAsia="zh-CN"/>
        </w:rPr>
        <w:t>10200</w:t>
      </w:r>
      <w:r>
        <w:rPr>
          <w:color w:val="auto"/>
        </w:rPr>
        <w:t>万元</w:t>
      </w:r>
      <w:r>
        <w:rPr>
          <w:rFonts w:hint="eastAsia"/>
          <w:color w:val="auto"/>
          <w:lang w:eastAsia="zh-CN"/>
        </w:rPr>
        <w:t>，</w:t>
      </w:r>
      <w:r>
        <w:rPr>
          <w:rFonts w:hint="eastAsia"/>
          <w:color w:val="auto"/>
          <w:lang w:val="en-US" w:eastAsia="zh-CN"/>
        </w:rPr>
        <w:t>资金来源为企业自筹及国内贷款</w:t>
      </w:r>
      <w:r>
        <w:rPr>
          <w:color w:val="auto"/>
        </w:rPr>
        <w:t>；</w:t>
      </w:r>
    </w:p>
    <w:p w14:paraId="6AF70AEB">
      <w:pPr>
        <w:bidi w:val="0"/>
        <w:rPr>
          <w:rFonts w:hint="eastAsia"/>
          <w:color w:val="auto"/>
          <w:lang w:val="en-US" w:eastAsia="zh-CN"/>
        </w:rPr>
      </w:pPr>
      <w:r>
        <w:rPr>
          <w:rFonts w:hint="eastAsia"/>
          <w:color w:val="auto"/>
          <w:lang w:val="en-US" w:eastAsia="zh-CN"/>
        </w:rPr>
        <w:t>拆迁安置：本项目不涉及居民拆迁安置问题。</w:t>
      </w:r>
    </w:p>
    <w:p w14:paraId="2648BED1">
      <w:pPr>
        <w:pStyle w:val="35"/>
        <w:bidi w:val="0"/>
        <w:rPr>
          <w:rFonts w:hint="eastAsia"/>
          <w:color w:val="auto"/>
          <w:lang w:val="en-US" w:eastAsia="zh-CN"/>
        </w:rPr>
      </w:pPr>
      <w:r>
        <w:rPr>
          <w:color w:val="auto"/>
        </w:rPr>
        <w:t>表</w:t>
      </w:r>
      <w:r>
        <w:rPr>
          <w:rFonts w:hint="eastAsia"/>
          <w:color w:val="auto"/>
        </w:rPr>
        <w:t>2</w:t>
      </w:r>
      <w:r>
        <w:rPr>
          <w:rFonts w:hint="eastAsia"/>
          <w:color w:val="auto"/>
          <w:lang w:val="en-US" w:eastAsia="zh-CN"/>
        </w:rPr>
        <w:t>.1</w:t>
      </w:r>
      <w:r>
        <w:rPr>
          <w:rFonts w:hint="eastAsia"/>
          <w:color w:val="auto"/>
        </w:rPr>
        <w:t>-1</w:t>
      </w:r>
      <w:r>
        <w:rPr>
          <w:color w:val="auto"/>
        </w:rPr>
        <w:t xml:space="preserve"> 项目基本情况</w:t>
      </w:r>
      <w:r>
        <w:rPr>
          <w:rFonts w:hint="eastAsia"/>
          <w:color w:val="auto"/>
          <w:lang w:eastAsia="zh-CN"/>
        </w:rPr>
        <w:t>表</w:t>
      </w:r>
    </w:p>
    <w:tbl>
      <w:tblPr>
        <w:tblStyle w:val="25"/>
        <w:tblW w:w="90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3"/>
        <w:gridCol w:w="32"/>
        <w:gridCol w:w="1217"/>
        <w:gridCol w:w="323"/>
        <w:gridCol w:w="966"/>
        <w:gridCol w:w="530"/>
        <w:gridCol w:w="463"/>
        <w:gridCol w:w="789"/>
        <w:gridCol w:w="72"/>
        <w:gridCol w:w="1175"/>
        <w:gridCol w:w="383"/>
        <w:gridCol w:w="864"/>
        <w:gridCol w:w="1387"/>
      </w:tblGrid>
      <w:tr w14:paraId="2B468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14" w:type="dxa"/>
            <w:gridSpan w:val="13"/>
            <w:vAlign w:val="center"/>
          </w:tcPr>
          <w:p w14:paraId="76551109">
            <w:pPr>
              <w:pStyle w:val="34"/>
              <w:bidi w:val="0"/>
              <w:rPr>
                <w:color w:val="auto"/>
              </w:rPr>
            </w:pPr>
            <w:r>
              <w:rPr>
                <w:color w:val="auto"/>
              </w:rPr>
              <w:t>一、项目基本情况</w:t>
            </w:r>
          </w:p>
        </w:tc>
      </w:tr>
      <w:tr w14:paraId="20D264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062" w:type="dxa"/>
            <w:gridSpan w:val="3"/>
            <w:vAlign w:val="center"/>
          </w:tcPr>
          <w:p w14:paraId="7D5AE95F">
            <w:pPr>
              <w:pStyle w:val="34"/>
              <w:bidi w:val="0"/>
              <w:rPr>
                <w:color w:val="auto"/>
              </w:rPr>
            </w:pPr>
            <w:r>
              <w:rPr>
                <w:color w:val="auto"/>
              </w:rPr>
              <w:t>项目名称</w:t>
            </w:r>
          </w:p>
        </w:tc>
        <w:tc>
          <w:tcPr>
            <w:tcW w:w="6952" w:type="dxa"/>
            <w:gridSpan w:val="10"/>
            <w:vAlign w:val="center"/>
          </w:tcPr>
          <w:p w14:paraId="4213369E">
            <w:pPr>
              <w:pStyle w:val="34"/>
              <w:bidi w:val="0"/>
              <w:rPr>
                <w:rFonts w:hint="eastAsia"/>
                <w:color w:val="auto"/>
                <w:lang w:eastAsia="zh-CN"/>
              </w:rPr>
            </w:pPr>
            <w:r>
              <w:rPr>
                <w:rFonts w:hint="eastAsia"/>
                <w:color w:val="auto"/>
                <w:lang w:eastAsia="zh-CN"/>
              </w:rPr>
              <w:t>乙炔生产工厂和充装站一期项目</w:t>
            </w:r>
          </w:p>
        </w:tc>
      </w:tr>
      <w:tr w14:paraId="30D70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062" w:type="dxa"/>
            <w:gridSpan w:val="3"/>
            <w:vAlign w:val="center"/>
          </w:tcPr>
          <w:p w14:paraId="657A8A5C">
            <w:pPr>
              <w:pStyle w:val="34"/>
              <w:bidi w:val="0"/>
              <w:rPr>
                <w:color w:val="auto"/>
              </w:rPr>
            </w:pPr>
            <w:r>
              <w:rPr>
                <w:color w:val="auto"/>
              </w:rPr>
              <w:t>建设地点</w:t>
            </w:r>
          </w:p>
        </w:tc>
        <w:tc>
          <w:tcPr>
            <w:tcW w:w="6952" w:type="dxa"/>
            <w:gridSpan w:val="10"/>
            <w:vAlign w:val="center"/>
          </w:tcPr>
          <w:p w14:paraId="5AF877B1">
            <w:pPr>
              <w:pStyle w:val="34"/>
              <w:bidi w:val="0"/>
              <w:rPr>
                <w:rFonts w:hint="eastAsia"/>
                <w:color w:val="auto"/>
                <w:lang w:eastAsia="zh-CN"/>
              </w:rPr>
            </w:pPr>
            <w:r>
              <w:rPr>
                <w:rFonts w:hint="eastAsia"/>
                <w:color w:val="auto"/>
                <w:lang w:eastAsia="zh-CN"/>
              </w:rPr>
              <w:t>雅安市经开区草坝镇永兴大道中段699号</w:t>
            </w:r>
          </w:p>
        </w:tc>
      </w:tr>
      <w:tr w14:paraId="551CA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062" w:type="dxa"/>
            <w:gridSpan w:val="3"/>
            <w:vAlign w:val="center"/>
          </w:tcPr>
          <w:p w14:paraId="7921C205">
            <w:pPr>
              <w:pStyle w:val="34"/>
              <w:bidi w:val="0"/>
              <w:rPr>
                <w:color w:val="auto"/>
              </w:rPr>
            </w:pPr>
            <w:r>
              <w:rPr>
                <w:rFonts w:hint="eastAsia"/>
                <w:color w:val="auto"/>
              </w:rPr>
              <w:t>建设单位</w:t>
            </w:r>
          </w:p>
        </w:tc>
        <w:tc>
          <w:tcPr>
            <w:tcW w:w="6952" w:type="dxa"/>
            <w:gridSpan w:val="10"/>
            <w:vAlign w:val="center"/>
          </w:tcPr>
          <w:p w14:paraId="4AF1E533">
            <w:pPr>
              <w:pStyle w:val="34"/>
              <w:bidi w:val="0"/>
              <w:rPr>
                <w:rFonts w:hint="eastAsia"/>
                <w:color w:val="auto"/>
                <w:lang w:eastAsia="zh-CN"/>
              </w:rPr>
            </w:pPr>
            <w:r>
              <w:rPr>
                <w:rFonts w:hint="eastAsia"/>
                <w:color w:val="auto"/>
                <w:lang w:eastAsia="zh-CN"/>
              </w:rPr>
              <w:t>四川虹炬精细化工有限责任公司</w:t>
            </w:r>
          </w:p>
        </w:tc>
      </w:tr>
      <w:tr w14:paraId="0D0947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062" w:type="dxa"/>
            <w:gridSpan w:val="3"/>
            <w:vAlign w:val="center"/>
          </w:tcPr>
          <w:p w14:paraId="1FCE8580">
            <w:pPr>
              <w:pStyle w:val="34"/>
              <w:bidi w:val="0"/>
              <w:rPr>
                <w:color w:val="auto"/>
              </w:rPr>
            </w:pPr>
            <w:r>
              <w:rPr>
                <w:color w:val="auto"/>
              </w:rPr>
              <w:t>建设性质</w:t>
            </w:r>
          </w:p>
        </w:tc>
        <w:tc>
          <w:tcPr>
            <w:tcW w:w="6952" w:type="dxa"/>
            <w:gridSpan w:val="10"/>
            <w:vAlign w:val="center"/>
          </w:tcPr>
          <w:p w14:paraId="614387CA">
            <w:pPr>
              <w:pStyle w:val="34"/>
              <w:bidi w:val="0"/>
              <w:rPr>
                <w:color w:val="auto"/>
              </w:rPr>
            </w:pPr>
            <w:r>
              <w:rPr>
                <w:rFonts w:hint="eastAsia"/>
                <w:color w:val="auto"/>
                <w:lang w:val="en-US" w:eastAsia="zh-CN"/>
              </w:rPr>
              <w:t>新建</w:t>
            </w:r>
            <w:r>
              <w:rPr>
                <w:rFonts w:hint="eastAsia"/>
                <w:color w:val="auto"/>
                <w:lang w:eastAsia="zh-CN"/>
              </w:rPr>
              <w:t>，</w:t>
            </w:r>
            <w:r>
              <w:rPr>
                <w:rFonts w:hint="eastAsia"/>
                <w:color w:val="auto"/>
                <w:lang w:val="en-US" w:eastAsia="zh-CN"/>
              </w:rPr>
              <w:t>建设类</w:t>
            </w:r>
          </w:p>
        </w:tc>
      </w:tr>
      <w:tr w14:paraId="2B1ED7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062" w:type="dxa"/>
            <w:gridSpan w:val="3"/>
            <w:vAlign w:val="center"/>
          </w:tcPr>
          <w:p w14:paraId="74B87124">
            <w:pPr>
              <w:pStyle w:val="34"/>
              <w:bidi w:val="0"/>
              <w:rPr>
                <w:color w:val="auto"/>
              </w:rPr>
            </w:pPr>
            <w:r>
              <w:rPr>
                <w:color w:val="auto"/>
              </w:rPr>
              <w:t>建设工期</w:t>
            </w:r>
          </w:p>
        </w:tc>
        <w:tc>
          <w:tcPr>
            <w:tcW w:w="6952" w:type="dxa"/>
            <w:gridSpan w:val="10"/>
            <w:vAlign w:val="center"/>
          </w:tcPr>
          <w:p w14:paraId="07935F2F">
            <w:pPr>
              <w:pStyle w:val="34"/>
              <w:bidi w:val="0"/>
              <w:rPr>
                <w:color w:val="auto"/>
              </w:rPr>
            </w:pPr>
            <w:r>
              <w:rPr>
                <w:rFonts w:hint="eastAsia"/>
                <w:color w:val="auto"/>
              </w:rPr>
              <w:t>20</w:t>
            </w:r>
            <w:r>
              <w:rPr>
                <w:rFonts w:hint="eastAsia"/>
                <w:color w:val="auto"/>
                <w:lang w:val="en-US" w:eastAsia="zh-CN"/>
              </w:rPr>
              <w:t>25</w:t>
            </w:r>
            <w:r>
              <w:rPr>
                <w:rFonts w:hint="eastAsia"/>
                <w:color w:val="auto"/>
              </w:rPr>
              <w:t>年</w:t>
            </w:r>
            <w:r>
              <w:rPr>
                <w:rFonts w:hint="eastAsia"/>
                <w:color w:val="auto"/>
                <w:lang w:val="en-US" w:eastAsia="zh-CN"/>
              </w:rPr>
              <w:t>1</w:t>
            </w:r>
            <w:r>
              <w:rPr>
                <w:rFonts w:hint="eastAsia"/>
                <w:color w:val="auto"/>
              </w:rPr>
              <w:t>月~20</w:t>
            </w:r>
            <w:r>
              <w:rPr>
                <w:rFonts w:hint="eastAsia"/>
                <w:color w:val="auto"/>
                <w:lang w:val="en-US" w:eastAsia="zh-CN"/>
              </w:rPr>
              <w:t>25</w:t>
            </w:r>
            <w:r>
              <w:rPr>
                <w:rFonts w:hint="eastAsia"/>
                <w:color w:val="auto"/>
              </w:rPr>
              <w:t>年</w:t>
            </w:r>
            <w:r>
              <w:rPr>
                <w:rFonts w:hint="eastAsia"/>
                <w:color w:val="auto"/>
                <w:lang w:val="en-US" w:eastAsia="zh-CN"/>
              </w:rPr>
              <w:t>6</w:t>
            </w:r>
            <w:r>
              <w:rPr>
                <w:rFonts w:hint="eastAsia"/>
                <w:color w:val="auto"/>
              </w:rPr>
              <w:t>月</w:t>
            </w:r>
          </w:p>
        </w:tc>
      </w:tr>
      <w:tr w14:paraId="43132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2062" w:type="dxa"/>
            <w:gridSpan w:val="3"/>
            <w:vAlign w:val="center"/>
          </w:tcPr>
          <w:p w14:paraId="2B6C6428">
            <w:pPr>
              <w:pStyle w:val="34"/>
              <w:bidi w:val="0"/>
              <w:rPr>
                <w:rFonts w:hint="eastAsia"/>
                <w:color w:val="auto"/>
              </w:rPr>
            </w:pPr>
            <w:r>
              <w:rPr>
                <w:rFonts w:hint="eastAsia"/>
                <w:color w:val="auto"/>
              </w:rPr>
              <w:t>工程总投资</w:t>
            </w:r>
          </w:p>
        </w:tc>
        <w:tc>
          <w:tcPr>
            <w:tcW w:w="6952" w:type="dxa"/>
            <w:gridSpan w:val="10"/>
            <w:vAlign w:val="center"/>
          </w:tcPr>
          <w:p w14:paraId="76A883E5">
            <w:pPr>
              <w:pStyle w:val="34"/>
              <w:bidi w:val="0"/>
              <w:rPr>
                <w:rFonts w:hint="eastAsia"/>
                <w:color w:val="auto"/>
              </w:rPr>
            </w:pPr>
            <w:r>
              <w:rPr>
                <w:rFonts w:hint="eastAsia"/>
                <w:color w:val="auto"/>
                <w:lang w:val="en-US" w:eastAsia="zh-CN"/>
              </w:rPr>
              <w:t>概算</w:t>
            </w:r>
            <w:r>
              <w:rPr>
                <w:rFonts w:hint="eastAsia"/>
                <w:color w:val="auto"/>
                <w:lang w:eastAsia="zh-CN"/>
              </w:rPr>
              <w:t>总</w:t>
            </w:r>
            <w:r>
              <w:rPr>
                <w:rFonts w:hint="eastAsia"/>
                <w:color w:val="auto"/>
              </w:rPr>
              <w:t>投资</w:t>
            </w:r>
            <w:r>
              <w:rPr>
                <w:rFonts w:hint="eastAsia"/>
                <w:color w:val="auto"/>
                <w:lang w:val="en-US" w:eastAsia="zh-CN"/>
              </w:rPr>
              <w:t>10200</w:t>
            </w:r>
            <w:r>
              <w:rPr>
                <w:rFonts w:hint="eastAsia"/>
                <w:color w:val="auto"/>
              </w:rPr>
              <w:t>万元</w:t>
            </w:r>
          </w:p>
        </w:tc>
      </w:tr>
      <w:tr w14:paraId="6C003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062" w:type="dxa"/>
            <w:gridSpan w:val="3"/>
            <w:vAlign w:val="center"/>
          </w:tcPr>
          <w:p w14:paraId="6B21B844">
            <w:pPr>
              <w:pStyle w:val="34"/>
              <w:bidi w:val="0"/>
            </w:pPr>
            <w:r>
              <w:rPr>
                <w:rFonts w:hint="eastAsia"/>
                <w:lang w:val="en-US" w:eastAsia="zh-CN"/>
              </w:rPr>
              <w:t>.</w:t>
            </w:r>
            <w:r>
              <w:rPr>
                <w:rFonts w:hint="eastAsia"/>
              </w:rPr>
              <w:t>建设规模及内容</w:t>
            </w:r>
          </w:p>
        </w:tc>
        <w:tc>
          <w:tcPr>
            <w:tcW w:w="6952" w:type="dxa"/>
            <w:gridSpan w:val="10"/>
            <w:vAlign w:val="center"/>
          </w:tcPr>
          <w:p w14:paraId="7F9917B7">
            <w:pPr>
              <w:pStyle w:val="34"/>
              <w:bidi w:val="0"/>
              <w:rPr>
                <w:rFonts w:hint="default"/>
                <w:lang w:val="en-US"/>
              </w:rPr>
            </w:pPr>
            <w:r>
              <w:rPr>
                <w:rFonts w:hint="default"/>
                <w:lang w:val="en-US" w:eastAsia="zh-CN"/>
              </w:rPr>
              <w:t>本期建设内容为新建一座乙炔生产工厂和乙炔充装站项目。 产能：1.一套产能为14000 吨/年的乙炔生产装置。2.一座产能为 1500 瓶/天的瓶装乙炔充装站。 3.工业丙烷、液化石油气、二甲醚、丙烯充装站、储存。主要设备：乙炔发生器、乙炔充装系统、环保设施设备、2 台丙烷储罐、2 台液化石油气储罐、2 台二甲醚储罐、2 台丙烯储罐。</w:t>
            </w:r>
          </w:p>
        </w:tc>
      </w:tr>
      <w:tr w14:paraId="15D66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14" w:type="dxa"/>
            <w:gridSpan w:val="13"/>
            <w:vAlign w:val="center"/>
          </w:tcPr>
          <w:p w14:paraId="137502B5">
            <w:pPr>
              <w:pStyle w:val="34"/>
              <w:bidi w:val="0"/>
            </w:pPr>
            <w:r>
              <w:rPr>
                <w:rFonts w:hint="eastAsia"/>
              </w:rPr>
              <w:t>二、工程占地（单位：hm</w:t>
            </w:r>
            <w:r>
              <w:rPr>
                <w:rFonts w:hint="eastAsia"/>
                <w:vertAlign w:val="superscript"/>
              </w:rPr>
              <w:t>2</w:t>
            </w:r>
            <w:r>
              <w:rPr>
                <w:rFonts w:hint="eastAsia"/>
              </w:rPr>
              <w:t>）</w:t>
            </w:r>
          </w:p>
        </w:tc>
      </w:tr>
      <w:tr w14:paraId="2A7FF4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2385" w:type="dxa"/>
            <w:gridSpan w:val="4"/>
            <w:vMerge w:val="restart"/>
            <w:vAlign w:val="center"/>
          </w:tcPr>
          <w:p w14:paraId="03A5EB62">
            <w:pPr>
              <w:pStyle w:val="34"/>
              <w:bidi w:val="0"/>
            </w:pPr>
            <w:r>
              <w:rPr>
                <w:rFonts w:hint="eastAsia"/>
                <w:lang w:val="en-US" w:eastAsia="zh-CN"/>
              </w:rPr>
              <w:t>项目组成</w:t>
            </w:r>
          </w:p>
        </w:tc>
        <w:tc>
          <w:tcPr>
            <w:tcW w:w="2820" w:type="dxa"/>
            <w:gridSpan w:val="5"/>
            <w:vAlign w:val="center"/>
          </w:tcPr>
          <w:p w14:paraId="4DC75097">
            <w:pPr>
              <w:pStyle w:val="34"/>
              <w:bidi w:val="0"/>
              <w:rPr>
                <w:rFonts w:hint="eastAsia"/>
                <w:lang w:eastAsia="zh-CN"/>
              </w:rPr>
            </w:pPr>
            <w:r>
              <w:rPr>
                <w:rFonts w:hint="eastAsia"/>
                <w:lang w:val="en-US" w:eastAsia="zh-CN"/>
              </w:rPr>
              <w:t>占地性质（</w:t>
            </w:r>
            <w:r>
              <w:rPr>
                <w:rFonts w:hint="default"/>
                <w:lang w:val="en-US" w:eastAsia="zh-CN"/>
              </w:rPr>
              <w:t>hm</w:t>
            </w:r>
            <w:r>
              <w:rPr>
                <w:rFonts w:hint="default"/>
                <w:vertAlign w:val="superscript"/>
                <w:lang w:val="en-US" w:eastAsia="zh-CN"/>
              </w:rPr>
              <w:t>2</w:t>
            </w:r>
            <w:r>
              <w:rPr>
                <w:rFonts w:hint="eastAsia"/>
                <w:lang w:val="en-US" w:eastAsia="zh-CN"/>
              </w:rPr>
              <w:t>）</w:t>
            </w:r>
          </w:p>
        </w:tc>
        <w:tc>
          <w:tcPr>
            <w:tcW w:w="3809" w:type="dxa"/>
            <w:gridSpan w:val="4"/>
            <w:vAlign w:val="center"/>
          </w:tcPr>
          <w:p w14:paraId="266A7B3C">
            <w:pPr>
              <w:pStyle w:val="34"/>
              <w:bidi w:val="0"/>
              <w:rPr>
                <w:rFonts w:hint="default"/>
                <w:lang w:val="en-US" w:eastAsia="zh-CN"/>
              </w:rPr>
            </w:pPr>
            <w:r>
              <w:rPr>
                <w:rFonts w:hint="eastAsia"/>
                <w:lang w:val="en-US" w:eastAsia="zh-CN"/>
              </w:rPr>
              <w:t>占地类型</w:t>
            </w:r>
          </w:p>
        </w:tc>
      </w:tr>
      <w:tr w14:paraId="7ABA9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85" w:type="dxa"/>
            <w:gridSpan w:val="4"/>
            <w:vMerge w:val="continue"/>
            <w:vAlign w:val="center"/>
          </w:tcPr>
          <w:p w14:paraId="077B7B1F">
            <w:pPr>
              <w:pStyle w:val="34"/>
              <w:bidi w:val="0"/>
            </w:pPr>
          </w:p>
        </w:tc>
        <w:tc>
          <w:tcPr>
            <w:tcW w:w="966" w:type="dxa"/>
            <w:vAlign w:val="center"/>
          </w:tcPr>
          <w:p w14:paraId="6CB88D1B">
            <w:pPr>
              <w:pStyle w:val="34"/>
              <w:bidi w:val="0"/>
            </w:pPr>
            <w:r>
              <w:rPr>
                <w:rFonts w:hint="eastAsia"/>
                <w:lang w:val="en-US" w:eastAsia="zh-CN"/>
              </w:rPr>
              <w:t>永久占地</w:t>
            </w:r>
          </w:p>
        </w:tc>
        <w:tc>
          <w:tcPr>
            <w:tcW w:w="993" w:type="dxa"/>
            <w:gridSpan w:val="2"/>
            <w:vAlign w:val="center"/>
          </w:tcPr>
          <w:p w14:paraId="4C021977">
            <w:pPr>
              <w:pStyle w:val="34"/>
              <w:bidi w:val="0"/>
            </w:pPr>
            <w:r>
              <w:rPr>
                <w:rFonts w:hint="eastAsia"/>
                <w:lang w:val="en-US" w:eastAsia="zh-CN"/>
              </w:rPr>
              <w:t>临时占地</w:t>
            </w:r>
          </w:p>
        </w:tc>
        <w:tc>
          <w:tcPr>
            <w:tcW w:w="861" w:type="dxa"/>
            <w:gridSpan w:val="2"/>
            <w:vAlign w:val="center"/>
          </w:tcPr>
          <w:p w14:paraId="299FFDAD">
            <w:pPr>
              <w:pStyle w:val="34"/>
              <w:bidi w:val="0"/>
            </w:pPr>
            <w:r>
              <w:rPr>
                <w:rFonts w:hint="eastAsia"/>
                <w:lang w:val="en-US" w:eastAsia="zh-CN"/>
              </w:rPr>
              <w:t>小计</w:t>
            </w:r>
          </w:p>
        </w:tc>
        <w:tc>
          <w:tcPr>
            <w:tcW w:w="1558" w:type="dxa"/>
            <w:gridSpan w:val="2"/>
            <w:vAlign w:val="center"/>
          </w:tcPr>
          <w:p w14:paraId="60DF8DA2">
            <w:pPr>
              <w:pStyle w:val="34"/>
              <w:bidi w:val="0"/>
              <w:rPr>
                <w:rFonts w:hint="default"/>
                <w:lang w:val="en-US" w:eastAsia="zh-CN"/>
              </w:rPr>
            </w:pPr>
            <w:r>
              <w:rPr>
                <w:rFonts w:hint="eastAsia"/>
                <w:lang w:val="en-US" w:eastAsia="zh-CN"/>
              </w:rPr>
              <w:t>耕地</w:t>
            </w:r>
          </w:p>
        </w:tc>
        <w:tc>
          <w:tcPr>
            <w:tcW w:w="2251" w:type="dxa"/>
            <w:gridSpan w:val="2"/>
            <w:vAlign w:val="center"/>
          </w:tcPr>
          <w:p w14:paraId="70A4F008">
            <w:pPr>
              <w:pStyle w:val="34"/>
              <w:bidi w:val="0"/>
              <w:rPr>
                <w:rFonts w:hint="default"/>
                <w:lang w:val="en-US" w:eastAsia="zh-CN"/>
              </w:rPr>
            </w:pPr>
            <w:r>
              <w:rPr>
                <w:rFonts w:hint="eastAsia"/>
                <w:lang w:val="en-US" w:eastAsia="zh-CN"/>
              </w:rPr>
              <w:t>小计</w:t>
            </w:r>
          </w:p>
        </w:tc>
      </w:tr>
      <w:tr w14:paraId="4AC557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5" w:type="dxa"/>
            <w:gridSpan w:val="2"/>
            <w:vAlign w:val="center"/>
          </w:tcPr>
          <w:p w14:paraId="5F7D2194">
            <w:pPr>
              <w:pStyle w:val="34"/>
              <w:bidi w:val="0"/>
              <w:rPr>
                <w:rFonts w:hint="default"/>
                <w:lang w:val="en-US" w:eastAsia="zh-CN"/>
              </w:rPr>
            </w:pPr>
            <w:r>
              <w:rPr>
                <w:rFonts w:hint="default"/>
                <w:lang w:val="en-US" w:eastAsia="zh-CN"/>
              </w:rPr>
              <w:t>1</w:t>
            </w:r>
          </w:p>
        </w:tc>
        <w:tc>
          <w:tcPr>
            <w:tcW w:w="1540" w:type="dxa"/>
            <w:gridSpan w:val="2"/>
            <w:vAlign w:val="center"/>
          </w:tcPr>
          <w:p w14:paraId="2232903F">
            <w:pPr>
              <w:pStyle w:val="34"/>
              <w:bidi w:val="0"/>
              <w:rPr>
                <w:rFonts w:hint="default"/>
                <w:lang w:val="en-US" w:eastAsia="zh-CN"/>
              </w:rPr>
            </w:pPr>
            <w:r>
              <w:rPr>
                <w:rFonts w:hint="eastAsia"/>
                <w:lang w:val="en-US" w:eastAsia="zh-CN"/>
              </w:rPr>
              <w:t>建构筑物区</w:t>
            </w:r>
          </w:p>
        </w:tc>
        <w:tc>
          <w:tcPr>
            <w:tcW w:w="966" w:type="dxa"/>
            <w:vAlign w:val="center"/>
          </w:tcPr>
          <w:p w14:paraId="654CD4C2">
            <w:pPr>
              <w:pStyle w:val="34"/>
              <w:bidi w:val="0"/>
              <w:rPr>
                <w:rFonts w:hint="default"/>
                <w:lang w:val="en-US" w:eastAsia="zh-CN"/>
              </w:rPr>
            </w:pPr>
            <w:r>
              <w:rPr>
                <w:rFonts w:hint="default"/>
                <w:lang w:val="en-US" w:eastAsia="zh-CN"/>
              </w:rPr>
              <w:t>1.55</w:t>
            </w:r>
          </w:p>
        </w:tc>
        <w:tc>
          <w:tcPr>
            <w:tcW w:w="993" w:type="dxa"/>
            <w:gridSpan w:val="2"/>
            <w:vAlign w:val="center"/>
          </w:tcPr>
          <w:p w14:paraId="63571D2B">
            <w:pPr>
              <w:pStyle w:val="34"/>
              <w:bidi w:val="0"/>
              <w:rPr>
                <w:rFonts w:hint="eastAsia"/>
                <w:lang w:val="en-US" w:eastAsia="zh-CN"/>
              </w:rPr>
            </w:pPr>
            <w:r>
              <w:rPr>
                <w:rFonts w:hint="eastAsia"/>
                <w:lang w:val="en-US" w:eastAsia="zh-CN"/>
              </w:rPr>
              <w:t>0</w:t>
            </w:r>
          </w:p>
        </w:tc>
        <w:tc>
          <w:tcPr>
            <w:tcW w:w="861" w:type="dxa"/>
            <w:gridSpan w:val="2"/>
            <w:vAlign w:val="center"/>
          </w:tcPr>
          <w:p w14:paraId="7EC8A951">
            <w:pPr>
              <w:pStyle w:val="34"/>
              <w:bidi w:val="0"/>
              <w:rPr>
                <w:rFonts w:hint="default"/>
                <w:lang w:val="en-US" w:eastAsia="zh-CN"/>
              </w:rPr>
            </w:pPr>
            <w:r>
              <w:rPr>
                <w:rFonts w:hint="default"/>
                <w:lang w:val="en-US" w:eastAsia="zh-CN"/>
              </w:rPr>
              <w:t>1.55</w:t>
            </w:r>
          </w:p>
        </w:tc>
        <w:tc>
          <w:tcPr>
            <w:tcW w:w="1558" w:type="dxa"/>
            <w:gridSpan w:val="2"/>
            <w:vAlign w:val="center"/>
          </w:tcPr>
          <w:p w14:paraId="4BF05219">
            <w:pPr>
              <w:pStyle w:val="34"/>
              <w:bidi w:val="0"/>
              <w:rPr>
                <w:rFonts w:hint="default"/>
                <w:lang w:val="en-US" w:eastAsia="zh-CN"/>
              </w:rPr>
            </w:pPr>
            <w:r>
              <w:rPr>
                <w:rFonts w:hint="default"/>
                <w:lang w:val="en-US" w:eastAsia="zh-CN"/>
              </w:rPr>
              <w:t>1.55</w:t>
            </w:r>
          </w:p>
        </w:tc>
        <w:tc>
          <w:tcPr>
            <w:tcW w:w="2251" w:type="dxa"/>
            <w:gridSpan w:val="2"/>
            <w:vAlign w:val="center"/>
          </w:tcPr>
          <w:p w14:paraId="6042841D">
            <w:pPr>
              <w:pStyle w:val="34"/>
              <w:bidi w:val="0"/>
              <w:rPr>
                <w:rFonts w:hint="default"/>
                <w:lang w:val="en-US" w:eastAsia="zh-CN"/>
              </w:rPr>
            </w:pPr>
            <w:r>
              <w:rPr>
                <w:rFonts w:hint="default"/>
                <w:lang w:val="en-US" w:eastAsia="zh-CN"/>
              </w:rPr>
              <w:t>1.55</w:t>
            </w:r>
          </w:p>
        </w:tc>
      </w:tr>
      <w:tr w14:paraId="67A56F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5" w:type="dxa"/>
            <w:gridSpan w:val="2"/>
            <w:vAlign w:val="center"/>
          </w:tcPr>
          <w:p w14:paraId="691F1380">
            <w:pPr>
              <w:pStyle w:val="34"/>
              <w:bidi w:val="0"/>
              <w:rPr>
                <w:rFonts w:hint="eastAsia"/>
                <w:lang w:val="en-US" w:eastAsia="zh-CN"/>
              </w:rPr>
            </w:pPr>
            <w:r>
              <w:rPr>
                <w:rFonts w:hint="default"/>
                <w:lang w:val="en-US" w:eastAsia="zh-CN"/>
              </w:rPr>
              <w:t>2</w:t>
            </w:r>
          </w:p>
        </w:tc>
        <w:tc>
          <w:tcPr>
            <w:tcW w:w="1540" w:type="dxa"/>
            <w:gridSpan w:val="2"/>
            <w:vAlign w:val="center"/>
          </w:tcPr>
          <w:p w14:paraId="52165115">
            <w:pPr>
              <w:pStyle w:val="34"/>
              <w:bidi w:val="0"/>
              <w:rPr>
                <w:rFonts w:hint="eastAsia"/>
                <w:lang w:eastAsia="zh-CN"/>
              </w:rPr>
            </w:pPr>
            <w:r>
              <w:rPr>
                <w:rFonts w:hint="eastAsia"/>
                <w:lang w:val="en-US" w:eastAsia="zh-CN"/>
              </w:rPr>
              <w:t>硬化道路区</w:t>
            </w:r>
          </w:p>
        </w:tc>
        <w:tc>
          <w:tcPr>
            <w:tcW w:w="966" w:type="dxa"/>
            <w:vAlign w:val="center"/>
          </w:tcPr>
          <w:p w14:paraId="2990AFA1">
            <w:pPr>
              <w:pStyle w:val="34"/>
              <w:bidi w:val="0"/>
              <w:rPr>
                <w:rFonts w:hint="default"/>
                <w:lang w:val="en-US" w:eastAsia="zh-CN"/>
              </w:rPr>
            </w:pPr>
            <w:r>
              <w:rPr>
                <w:rFonts w:hint="default"/>
                <w:lang w:val="en-US" w:eastAsia="zh-CN"/>
              </w:rPr>
              <w:t>2.11</w:t>
            </w:r>
          </w:p>
        </w:tc>
        <w:tc>
          <w:tcPr>
            <w:tcW w:w="993" w:type="dxa"/>
            <w:gridSpan w:val="2"/>
            <w:vAlign w:val="center"/>
          </w:tcPr>
          <w:p w14:paraId="407210C8">
            <w:pPr>
              <w:pStyle w:val="34"/>
              <w:bidi w:val="0"/>
            </w:pPr>
            <w:r>
              <w:rPr>
                <w:rFonts w:hint="eastAsia"/>
                <w:lang w:val="en-US" w:eastAsia="zh-CN"/>
              </w:rPr>
              <w:t>0</w:t>
            </w:r>
          </w:p>
        </w:tc>
        <w:tc>
          <w:tcPr>
            <w:tcW w:w="861" w:type="dxa"/>
            <w:gridSpan w:val="2"/>
            <w:vAlign w:val="center"/>
          </w:tcPr>
          <w:p w14:paraId="3E1E23B1">
            <w:pPr>
              <w:pStyle w:val="34"/>
              <w:bidi w:val="0"/>
              <w:rPr>
                <w:rFonts w:hint="default"/>
                <w:lang w:val="en-US" w:eastAsia="zh-CN"/>
              </w:rPr>
            </w:pPr>
            <w:r>
              <w:rPr>
                <w:rFonts w:hint="default"/>
                <w:lang w:val="en-US" w:eastAsia="zh-CN"/>
              </w:rPr>
              <w:t>2.11</w:t>
            </w:r>
          </w:p>
        </w:tc>
        <w:tc>
          <w:tcPr>
            <w:tcW w:w="1558" w:type="dxa"/>
            <w:gridSpan w:val="2"/>
            <w:vAlign w:val="center"/>
          </w:tcPr>
          <w:p w14:paraId="0B13FC66">
            <w:pPr>
              <w:pStyle w:val="34"/>
              <w:bidi w:val="0"/>
              <w:rPr>
                <w:rFonts w:hint="default"/>
                <w:lang w:val="en-US" w:eastAsia="zh-CN"/>
              </w:rPr>
            </w:pPr>
            <w:r>
              <w:rPr>
                <w:rFonts w:hint="default"/>
                <w:lang w:val="en-US" w:eastAsia="zh-CN"/>
              </w:rPr>
              <w:t>2.11</w:t>
            </w:r>
          </w:p>
        </w:tc>
        <w:tc>
          <w:tcPr>
            <w:tcW w:w="2251" w:type="dxa"/>
            <w:gridSpan w:val="2"/>
            <w:vAlign w:val="center"/>
          </w:tcPr>
          <w:p w14:paraId="1E4A87DD">
            <w:pPr>
              <w:pStyle w:val="34"/>
              <w:bidi w:val="0"/>
              <w:rPr>
                <w:rFonts w:hint="default"/>
                <w:lang w:val="en-US" w:eastAsia="zh-CN"/>
              </w:rPr>
            </w:pPr>
            <w:r>
              <w:rPr>
                <w:rFonts w:hint="default"/>
                <w:lang w:val="en-US" w:eastAsia="zh-CN"/>
              </w:rPr>
              <w:t>2.11</w:t>
            </w:r>
          </w:p>
        </w:tc>
      </w:tr>
      <w:tr w14:paraId="763C6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85" w:type="dxa"/>
            <w:gridSpan w:val="4"/>
            <w:vAlign w:val="center"/>
          </w:tcPr>
          <w:p w14:paraId="4CCB09DD">
            <w:pPr>
              <w:pStyle w:val="34"/>
              <w:bidi w:val="0"/>
              <w:rPr>
                <w:rFonts w:hint="eastAsia"/>
                <w:lang w:eastAsia="zh-CN"/>
              </w:rPr>
            </w:pPr>
            <w:r>
              <w:rPr>
                <w:rFonts w:hint="eastAsia"/>
                <w:lang w:val="en-US" w:eastAsia="zh-CN"/>
              </w:rPr>
              <w:t>合计</w:t>
            </w:r>
          </w:p>
        </w:tc>
        <w:tc>
          <w:tcPr>
            <w:tcW w:w="966" w:type="dxa"/>
            <w:vAlign w:val="center"/>
          </w:tcPr>
          <w:p w14:paraId="0463CA1D">
            <w:pPr>
              <w:pStyle w:val="34"/>
              <w:bidi w:val="0"/>
              <w:rPr>
                <w:rFonts w:hint="default"/>
                <w:lang w:val="en-US" w:eastAsia="zh-CN"/>
              </w:rPr>
            </w:pPr>
            <w:r>
              <w:rPr>
                <w:rFonts w:hint="default"/>
                <w:lang w:val="en-US" w:eastAsia="zh-CN"/>
              </w:rPr>
              <w:t>3.66</w:t>
            </w:r>
          </w:p>
        </w:tc>
        <w:tc>
          <w:tcPr>
            <w:tcW w:w="993" w:type="dxa"/>
            <w:gridSpan w:val="2"/>
            <w:vAlign w:val="center"/>
          </w:tcPr>
          <w:p w14:paraId="30A272DB">
            <w:pPr>
              <w:pStyle w:val="34"/>
              <w:bidi w:val="0"/>
              <w:rPr>
                <w:rFonts w:hint="default"/>
                <w:lang w:val="en-US" w:eastAsia="zh-CN"/>
              </w:rPr>
            </w:pPr>
            <w:r>
              <w:rPr>
                <w:rFonts w:hint="default"/>
                <w:lang w:val="en-US" w:eastAsia="zh-CN"/>
              </w:rPr>
              <w:t>0</w:t>
            </w:r>
          </w:p>
        </w:tc>
        <w:tc>
          <w:tcPr>
            <w:tcW w:w="861" w:type="dxa"/>
            <w:gridSpan w:val="2"/>
            <w:vAlign w:val="center"/>
          </w:tcPr>
          <w:p w14:paraId="439CE9B4">
            <w:pPr>
              <w:pStyle w:val="34"/>
              <w:bidi w:val="0"/>
              <w:rPr>
                <w:rFonts w:hint="default"/>
                <w:lang w:val="en-US" w:eastAsia="zh-CN"/>
              </w:rPr>
            </w:pPr>
            <w:r>
              <w:rPr>
                <w:rFonts w:hint="default"/>
                <w:lang w:val="en-US" w:eastAsia="zh-CN"/>
              </w:rPr>
              <w:t>3.66</w:t>
            </w:r>
          </w:p>
        </w:tc>
        <w:tc>
          <w:tcPr>
            <w:tcW w:w="1558" w:type="dxa"/>
            <w:gridSpan w:val="2"/>
            <w:vAlign w:val="center"/>
          </w:tcPr>
          <w:p w14:paraId="125565AA">
            <w:pPr>
              <w:pStyle w:val="34"/>
              <w:bidi w:val="0"/>
              <w:rPr>
                <w:rFonts w:hint="default"/>
                <w:lang w:val="en-US" w:eastAsia="zh-CN"/>
              </w:rPr>
            </w:pPr>
            <w:r>
              <w:rPr>
                <w:rFonts w:hint="default"/>
                <w:lang w:val="en-US" w:eastAsia="zh-CN"/>
              </w:rPr>
              <w:t>3.66</w:t>
            </w:r>
          </w:p>
        </w:tc>
        <w:tc>
          <w:tcPr>
            <w:tcW w:w="2251" w:type="dxa"/>
            <w:gridSpan w:val="2"/>
            <w:vAlign w:val="center"/>
          </w:tcPr>
          <w:p w14:paraId="2DB2652C">
            <w:pPr>
              <w:pStyle w:val="34"/>
              <w:bidi w:val="0"/>
              <w:rPr>
                <w:rFonts w:hint="default"/>
                <w:lang w:val="en-US" w:eastAsia="zh-CN"/>
              </w:rPr>
            </w:pPr>
            <w:r>
              <w:rPr>
                <w:rFonts w:hint="default"/>
                <w:lang w:val="en-US" w:eastAsia="zh-CN"/>
              </w:rPr>
              <w:t>3.66</w:t>
            </w:r>
          </w:p>
        </w:tc>
      </w:tr>
      <w:tr w14:paraId="5E96E5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14" w:type="dxa"/>
            <w:gridSpan w:val="13"/>
            <w:vAlign w:val="center"/>
          </w:tcPr>
          <w:p w14:paraId="0EC9A4A1">
            <w:pPr>
              <w:pStyle w:val="34"/>
              <w:bidi w:val="0"/>
            </w:pPr>
            <w:r>
              <w:rPr>
                <w:rFonts w:hint="eastAsia"/>
              </w:rPr>
              <w:t>三、土石方工程量（单位：万m3）</w:t>
            </w:r>
          </w:p>
        </w:tc>
      </w:tr>
      <w:tr w14:paraId="35701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2385" w:type="dxa"/>
            <w:gridSpan w:val="4"/>
            <w:vAlign w:val="center"/>
          </w:tcPr>
          <w:p w14:paraId="275D1403">
            <w:pPr>
              <w:pStyle w:val="34"/>
              <w:bidi w:val="0"/>
            </w:pPr>
            <w:r>
              <w:rPr>
                <w:rFonts w:hint="eastAsia"/>
              </w:rPr>
              <w:t>项目</w:t>
            </w:r>
          </w:p>
        </w:tc>
        <w:tc>
          <w:tcPr>
            <w:tcW w:w="1496" w:type="dxa"/>
            <w:gridSpan w:val="2"/>
            <w:vAlign w:val="center"/>
          </w:tcPr>
          <w:p w14:paraId="6E7D971C">
            <w:pPr>
              <w:pStyle w:val="34"/>
              <w:bidi w:val="0"/>
            </w:pPr>
            <w:r>
              <w:rPr>
                <w:rFonts w:hint="eastAsia"/>
              </w:rPr>
              <w:t>挖方</w:t>
            </w:r>
          </w:p>
        </w:tc>
        <w:tc>
          <w:tcPr>
            <w:tcW w:w="1252" w:type="dxa"/>
            <w:gridSpan w:val="2"/>
            <w:vAlign w:val="center"/>
          </w:tcPr>
          <w:p w14:paraId="7BE5F031">
            <w:pPr>
              <w:pStyle w:val="34"/>
              <w:bidi w:val="0"/>
            </w:pPr>
            <w:r>
              <w:rPr>
                <w:rFonts w:hint="eastAsia"/>
              </w:rPr>
              <w:t>填方</w:t>
            </w:r>
          </w:p>
        </w:tc>
        <w:tc>
          <w:tcPr>
            <w:tcW w:w="1247" w:type="dxa"/>
            <w:gridSpan w:val="2"/>
            <w:vAlign w:val="center"/>
          </w:tcPr>
          <w:p w14:paraId="5BAD60FA">
            <w:pPr>
              <w:pStyle w:val="34"/>
              <w:bidi w:val="0"/>
              <w:rPr>
                <w:rFonts w:hint="eastAsia"/>
                <w:lang w:val="en-US" w:eastAsia="zh-CN"/>
              </w:rPr>
            </w:pPr>
            <w:r>
              <w:rPr>
                <w:rFonts w:hint="eastAsia"/>
                <w:lang w:val="en-US" w:eastAsia="zh-CN"/>
              </w:rPr>
              <w:t>调入</w:t>
            </w:r>
          </w:p>
        </w:tc>
        <w:tc>
          <w:tcPr>
            <w:tcW w:w="1247" w:type="dxa"/>
            <w:gridSpan w:val="2"/>
            <w:vAlign w:val="center"/>
          </w:tcPr>
          <w:p w14:paraId="00B0D79C">
            <w:pPr>
              <w:pStyle w:val="34"/>
              <w:bidi w:val="0"/>
              <w:rPr>
                <w:rFonts w:hint="eastAsia"/>
                <w:lang w:val="en-US" w:eastAsia="zh-CN"/>
              </w:rPr>
            </w:pPr>
            <w:r>
              <w:rPr>
                <w:rFonts w:hint="eastAsia"/>
                <w:lang w:val="en-US" w:eastAsia="zh-CN"/>
              </w:rPr>
              <w:t>调出</w:t>
            </w:r>
          </w:p>
        </w:tc>
        <w:tc>
          <w:tcPr>
            <w:tcW w:w="1387" w:type="dxa"/>
            <w:vAlign w:val="center"/>
          </w:tcPr>
          <w:p w14:paraId="619D30DB">
            <w:pPr>
              <w:pStyle w:val="34"/>
              <w:bidi w:val="0"/>
            </w:pPr>
            <w:r>
              <w:rPr>
                <w:rFonts w:hint="eastAsia"/>
              </w:rPr>
              <w:t>余方</w:t>
            </w:r>
          </w:p>
        </w:tc>
      </w:tr>
      <w:tr w14:paraId="21B12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13" w:type="dxa"/>
            <w:vAlign w:val="center"/>
          </w:tcPr>
          <w:p w14:paraId="00DB0A65">
            <w:pPr>
              <w:pStyle w:val="34"/>
              <w:bidi w:val="0"/>
              <w:rPr>
                <w:rFonts w:hint="eastAsia"/>
                <w:lang w:eastAsia="zh-CN"/>
              </w:rPr>
            </w:pPr>
            <w:r>
              <w:rPr>
                <w:rFonts w:hint="eastAsia"/>
                <w:lang w:val="en-US" w:eastAsia="zh-CN"/>
              </w:rPr>
              <w:t>1</w:t>
            </w:r>
          </w:p>
        </w:tc>
        <w:tc>
          <w:tcPr>
            <w:tcW w:w="1572" w:type="dxa"/>
            <w:gridSpan w:val="3"/>
            <w:vAlign w:val="center"/>
          </w:tcPr>
          <w:p w14:paraId="1AF51D8C">
            <w:pPr>
              <w:pStyle w:val="34"/>
              <w:bidi w:val="0"/>
              <w:rPr>
                <w:rFonts w:hint="default"/>
                <w:lang w:val="en-US" w:eastAsia="zh-CN"/>
              </w:rPr>
            </w:pPr>
            <w:r>
              <w:rPr>
                <w:rFonts w:hint="eastAsia"/>
                <w:lang w:val="en-US" w:eastAsia="zh-CN"/>
              </w:rPr>
              <w:t>建构筑物区</w:t>
            </w:r>
          </w:p>
        </w:tc>
        <w:tc>
          <w:tcPr>
            <w:tcW w:w="1496" w:type="dxa"/>
            <w:gridSpan w:val="2"/>
            <w:vAlign w:val="center"/>
          </w:tcPr>
          <w:p w14:paraId="69517B31">
            <w:pPr>
              <w:pStyle w:val="34"/>
              <w:bidi w:val="0"/>
              <w:rPr>
                <w:rFonts w:hint="default"/>
                <w:lang w:val="en-US" w:eastAsia="zh-CN"/>
              </w:rPr>
            </w:pPr>
            <w:r>
              <w:rPr>
                <w:rFonts w:hint="default"/>
                <w:lang w:val="en-US" w:eastAsia="zh-CN"/>
              </w:rPr>
              <w:t>0.75</w:t>
            </w:r>
          </w:p>
        </w:tc>
        <w:tc>
          <w:tcPr>
            <w:tcW w:w="1252" w:type="dxa"/>
            <w:gridSpan w:val="2"/>
            <w:vAlign w:val="center"/>
          </w:tcPr>
          <w:p w14:paraId="3ADFF9A4">
            <w:pPr>
              <w:pStyle w:val="34"/>
              <w:bidi w:val="0"/>
              <w:rPr>
                <w:rFonts w:hint="default"/>
                <w:lang w:val="en-US" w:eastAsia="zh-CN"/>
              </w:rPr>
            </w:pPr>
            <w:r>
              <w:rPr>
                <w:rFonts w:hint="default"/>
                <w:lang w:val="en-US" w:eastAsia="zh-CN"/>
              </w:rPr>
              <w:t>0.75</w:t>
            </w:r>
          </w:p>
        </w:tc>
        <w:tc>
          <w:tcPr>
            <w:tcW w:w="1247" w:type="dxa"/>
            <w:gridSpan w:val="2"/>
            <w:vAlign w:val="center"/>
          </w:tcPr>
          <w:p w14:paraId="7B61E47E">
            <w:pPr>
              <w:pStyle w:val="34"/>
              <w:bidi w:val="0"/>
            </w:pPr>
          </w:p>
        </w:tc>
        <w:tc>
          <w:tcPr>
            <w:tcW w:w="1247" w:type="dxa"/>
            <w:gridSpan w:val="2"/>
            <w:vAlign w:val="center"/>
          </w:tcPr>
          <w:p w14:paraId="14BA4FC9">
            <w:pPr>
              <w:pStyle w:val="34"/>
              <w:bidi w:val="0"/>
              <w:rPr>
                <w:rFonts w:hint="default"/>
                <w:lang w:val="en-US" w:eastAsia="zh-CN"/>
              </w:rPr>
            </w:pPr>
            <w:r>
              <w:rPr>
                <w:rFonts w:hint="eastAsia"/>
                <w:lang w:val="en-US" w:eastAsia="zh-CN"/>
              </w:rPr>
              <w:t>0.40</w:t>
            </w:r>
          </w:p>
        </w:tc>
        <w:tc>
          <w:tcPr>
            <w:tcW w:w="1387" w:type="dxa"/>
            <w:vAlign w:val="center"/>
          </w:tcPr>
          <w:p w14:paraId="1FD2B8FA">
            <w:pPr>
              <w:pStyle w:val="34"/>
              <w:bidi w:val="0"/>
              <w:rPr>
                <w:rFonts w:hint="default"/>
                <w:lang w:val="en-US" w:eastAsia="zh-CN"/>
              </w:rPr>
            </w:pPr>
          </w:p>
        </w:tc>
      </w:tr>
      <w:tr w14:paraId="20294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13" w:type="dxa"/>
            <w:vAlign w:val="center"/>
          </w:tcPr>
          <w:p w14:paraId="192E2AAA">
            <w:pPr>
              <w:pStyle w:val="34"/>
              <w:bidi w:val="0"/>
              <w:rPr>
                <w:rFonts w:hint="eastAsia"/>
                <w:lang w:eastAsia="zh-CN"/>
              </w:rPr>
            </w:pPr>
            <w:r>
              <w:rPr>
                <w:rFonts w:hint="eastAsia"/>
                <w:lang w:val="en-US" w:eastAsia="zh-CN"/>
              </w:rPr>
              <w:t>2</w:t>
            </w:r>
          </w:p>
        </w:tc>
        <w:tc>
          <w:tcPr>
            <w:tcW w:w="1572" w:type="dxa"/>
            <w:gridSpan w:val="3"/>
            <w:vAlign w:val="center"/>
          </w:tcPr>
          <w:p w14:paraId="734F8C81">
            <w:pPr>
              <w:pStyle w:val="34"/>
              <w:bidi w:val="0"/>
              <w:rPr>
                <w:rFonts w:hint="eastAsia"/>
                <w:lang w:eastAsia="zh-CN"/>
              </w:rPr>
            </w:pPr>
            <w:r>
              <w:rPr>
                <w:rFonts w:hint="eastAsia"/>
                <w:lang w:val="en-US" w:eastAsia="zh-CN"/>
              </w:rPr>
              <w:t>硬化道路区</w:t>
            </w:r>
          </w:p>
        </w:tc>
        <w:tc>
          <w:tcPr>
            <w:tcW w:w="1496" w:type="dxa"/>
            <w:gridSpan w:val="2"/>
            <w:vAlign w:val="center"/>
          </w:tcPr>
          <w:p w14:paraId="7E29E59F">
            <w:pPr>
              <w:pStyle w:val="34"/>
              <w:bidi w:val="0"/>
              <w:rPr>
                <w:rFonts w:hint="default"/>
                <w:lang w:val="en-US" w:eastAsia="zh-CN"/>
              </w:rPr>
            </w:pPr>
            <w:r>
              <w:rPr>
                <w:rFonts w:hint="default"/>
                <w:lang w:val="en-US" w:eastAsia="zh-CN"/>
              </w:rPr>
              <w:t>0.57</w:t>
            </w:r>
          </w:p>
        </w:tc>
        <w:tc>
          <w:tcPr>
            <w:tcW w:w="1252" w:type="dxa"/>
            <w:gridSpan w:val="2"/>
            <w:vAlign w:val="center"/>
          </w:tcPr>
          <w:p w14:paraId="644A2531">
            <w:pPr>
              <w:pStyle w:val="34"/>
              <w:bidi w:val="0"/>
              <w:rPr>
                <w:rFonts w:hint="default"/>
                <w:lang w:val="en-US" w:eastAsia="zh-CN"/>
              </w:rPr>
            </w:pPr>
            <w:r>
              <w:rPr>
                <w:rFonts w:hint="default"/>
                <w:lang w:val="en-US" w:eastAsia="zh-CN"/>
              </w:rPr>
              <w:t>0.57</w:t>
            </w:r>
          </w:p>
        </w:tc>
        <w:tc>
          <w:tcPr>
            <w:tcW w:w="1247" w:type="dxa"/>
            <w:gridSpan w:val="2"/>
            <w:vAlign w:val="center"/>
          </w:tcPr>
          <w:p w14:paraId="7542C196">
            <w:pPr>
              <w:pStyle w:val="34"/>
              <w:bidi w:val="0"/>
              <w:rPr>
                <w:rFonts w:hint="default"/>
                <w:lang w:val="en-US" w:eastAsia="zh-CN"/>
              </w:rPr>
            </w:pPr>
            <w:r>
              <w:rPr>
                <w:rFonts w:hint="default"/>
                <w:lang w:val="en-US" w:eastAsia="zh-CN"/>
              </w:rPr>
              <w:t>0.4</w:t>
            </w:r>
            <w:r>
              <w:rPr>
                <w:rFonts w:hint="eastAsia"/>
                <w:lang w:val="en-US" w:eastAsia="zh-CN"/>
              </w:rPr>
              <w:t>0</w:t>
            </w:r>
          </w:p>
        </w:tc>
        <w:tc>
          <w:tcPr>
            <w:tcW w:w="1247" w:type="dxa"/>
            <w:gridSpan w:val="2"/>
            <w:vAlign w:val="center"/>
          </w:tcPr>
          <w:p w14:paraId="0628BC1F">
            <w:pPr>
              <w:pStyle w:val="34"/>
              <w:bidi w:val="0"/>
              <w:rPr>
                <w:rFonts w:hint="default"/>
                <w:lang w:val="en-US" w:eastAsia="zh-CN"/>
              </w:rPr>
            </w:pPr>
          </w:p>
        </w:tc>
        <w:tc>
          <w:tcPr>
            <w:tcW w:w="1387" w:type="dxa"/>
            <w:vAlign w:val="center"/>
          </w:tcPr>
          <w:p w14:paraId="02CD3EA5">
            <w:pPr>
              <w:pStyle w:val="34"/>
              <w:bidi w:val="0"/>
              <w:rPr>
                <w:rFonts w:hint="default"/>
                <w:lang w:val="en-US" w:eastAsia="zh-CN"/>
              </w:rPr>
            </w:pPr>
          </w:p>
        </w:tc>
      </w:tr>
      <w:tr w14:paraId="457DB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85" w:type="dxa"/>
            <w:gridSpan w:val="4"/>
            <w:vAlign w:val="center"/>
          </w:tcPr>
          <w:p w14:paraId="1887EF89">
            <w:pPr>
              <w:pStyle w:val="34"/>
              <w:bidi w:val="0"/>
            </w:pPr>
            <w:r>
              <w:rPr>
                <w:rFonts w:hint="eastAsia"/>
              </w:rPr>
              <w:t>合计</w:t>
            </w:r>
          </w:p>
        </w:tc>
        <w:tc>
          <w:tcPr>
            <w:tcW w:w="1496" w:type="dxa"/>
            <w:gridSpan w:val="2"/>
            <w:vAlign w:val="center"/>
          </w:tcPr>
          <w:p w14:paraId="228EADA2">
            <w:pPr>
              <w:pStyle w:val="34"/>
              <w:bidi w:val="0"/>
              <w:rPr>
                <w:rFonts w:hint="default"/>
                <w:lang w:val="en-US" w:eastAsia="zh-CN"/>
              </w:rPr>
            </w:pPr>
            <w:r>
              <w:rPr>
                <w:rFonts w:hint="default"/>
                <w:lang w:val="en-US" w:eastAsia="zh-CN"/>
              </w:rPr>
              <w:t>1.32</w:t>
            </w:r>
          </w:p>
        </w:tc>
        <w:tc>
          <w:tcPr>
            <w:tcW w:w="1252" w:type="dxa"/>
            <w:gridSpan w:val="2"/>
            <w:vAlign w:val="center"/>
          </w:tcPr>
          <w:p w14:paraId="14094058">
            <w:pPr>
              <w:pStyle w:val="34"/>
              <w:bidi w:val="0"/>
              <w:rPr>
                <w:rFonts w:hint="default"/>
                <w:lang w:val="en-US" w:eastAsia="zh-CN"/>
              </w:rPr>
            </w:pPr>
            <w:r>
              <w:rPr>
                <w:rFonts w:hint="default"/>
                <w:lang w:val="en-US" w:eastAsia="zh-CN"/>
              </w:rPr>
              <w:t>1.32</w:t>
            </w:r>
          </w:p>
        </w:tc>
        <w:tc>
          <w:tcPr>
            <w:tcW w:w="1247" w:type="dxa"/>
            <w:gridSpan w:val="2"/>
            <w:vAlign w:val="center"/>
          </w:tcPr>
          <w:p w14:paraId="4DFD9DE3">
            <w:pPr>
              <w:pStyle w:val="34"/>
              <w:bidi w:val="0"/>
              <w:rPr>
                <w:rFonts w:hint="default"/>
                <w:lang w:val="en-US" w:eastAsia="zh-CN"/>
              </w:rPr>
            </w:pPr>
            <w:r>
              <w:rPr>
                <w:rFonts w:hint="default"/>
                <w:lang w:val="en-US" w:eastAsia="zh-CN"/>
              </w:rPr>
              <w:t>0.4</w:t>
            </w:r>
            <w:r>
              <w:rPr>
                <w:rFonts w:hint="eastAsia"/>
                <w:lang w:val="en-US" w:eastAsia="zh-CN"/>
              </w:rPr>
              <w:t>0</w:t>
            </w:r>
          </w:p>
        </w:tc>
        <w:tc>
          <w:tcPr>
            <w:tcW w:w="1247" w:type="dxa"/>
            <w:gridSpan w:val="2"/>
            <w:vAlign w:val="center"/>
          </w:tcPr>
          <w:p w14:paraId="7AB35A52">
            <w:pPr>
              <w:pStyle w:val="34"/>
              <w:bidi w:val="0"/>
              <w:rPr>
                <w:rFonts w:hint="default"/>
                <w:lang w:val="en-US" w:eastAsia="zh-CN"/>
              </w:rPr>
            </w:pPr>
            <w:r>
              <w:rPr>
                <w:rFonts w:hint="default"/>
                <w:lang w:val="en-US" w:eastAsia="zh-CN"/>
              </w:rPr>
              <w:t>0.4</w:t>
            </w:r>
            <w:r>
              <w:rPr>
                <w:rFonts w:hint="eastAsia"/>
                <w:lang w:val="en-US" w:eastAsia="zh-CN"/>
              </w:rPr>
              <w:t>0</w:t>
            </w:r>
          </w:p>
        </w:tc>
        <w:tc>
          <w:tcPr>
            <w:tcW w:w="1387" w:type="dxa"/>
            <w:vAlign w:val="center"/>
          </w:tcPr>
          <w:p w14:paraId="3B696A6C">
            <w:pPr>
              <w:pStyle w:val="34"/>
              <w:bidi w:val="0"/>
              <w:rPr>
                <w:rFonts w:hint="default"/>
                <w:lang w:val="en-US" w:eastAsia="zh-CN"/>
              </w:rPr>
            </w:pPr>
          </w:p>
        </w:tc>
      </w:tr>
    </w:tbl>
    <w:p w14:paraId="3C5B00C5">
      <w:pPr>
        <w:pStyle w:val="6"/>
        <w:rPr>
          <w:rFonts w:hint="eastAsia"/>
          <w:color w:val="auto"/>
        </w:rPr>
      </w:pPr>
      <w:r>
        <w:rPr>
          <w:rFonts w:hint="eastAsia"/>
          <w:color w:val="auto"/>
        </w:rPr>
        <w:t>2.1.</w:t>
      </w:r>
      <w:r>
        <w:rPr>
          <w:rFonts w:hint="eastAsia"/>
          <w:color w:val="auto"/>
          <w:lang w:val="en-US" w:eastAsia="zh-CN"/>
        </w:rPr>
        <w:t>4</w:t>
      </w:r>
      <w:r>
        <w:rPr>
          <w:rFonts w:hint="eastAsia"/>
          <w:color w:val="auto"/>
        </w:rPr>
        <w:t>.1平面布置</w:t>
      </w:r>
    </w:p>
    <w:p w14:paraId="10297B73">
      <w:pPr>
        <w:keepNext w:val="0"/>
        <w:keepLines w:val="0"/>
        <w:pageBreakBefore w:val="0"/>
        <w:widowControl w:val="0"/>
        <w:kinsoku/>
        <w:wordWrap/>
        <w:overflowPunct/>
        <w:topLinePunct w:val="0"/>
        <w:autoSpaceDE/>
        <w:autoSpaceDN/>
        <w:bidi w:val="0"/>
        <w:adjustRightInd/>
        <w:snapToGrid/>
        <w:ind w:firstLine="480"/>
        <w:textAlignment w:val="auto"/>
        <w:rPr>
          <w:rFonts w:hint="eastAsia" w:eastAsia="仿宋_GB2312"/>
          <w:color w:val="auto"/>
          <w:lang w:val="en-US" w:eastAsia="zh-CN"/>
        </w:rPr>
      </w:pPr>
      <w:r>
        <w:rPr>
          <w:rFonts w:eastAsia="仿宋_GB2312"/>
          <w:color w:val="auto"/>
        </w:rPr>
        <w:t>本项目</w:t>
      </w:r>
      <w:r>
        <w:rPr>
          <w:rFonts w:hint="eastAsia" w:ascii="Times New Roman" w:hAnsi="Times New Roman" w:eastAsia="仿宋_GB2312" w:cs="Times New Roman"/>
          <w:color w:val="auto"/>
          <w:kern w:val="0"/>
          <w:lang w:val="en-US" w:eastAsia="zh-CN"/>
        </w:rPr>
        <w:t>由</w:t>
      </w:r>
      <w:r>
        <w:rPr>
          <w:rFonts w:hint="eastAsia" w:cs="Times New Roman"/>
          <w:color w:val="auto"/>
          <w:kern w:val="0"/>
          <w:lang w:val="en-US" w:eastAsia="zh-CN"/>
        </w:rPr>
        <w:t>建构筑物、道路硬化及附属工程组成</w:t>
      </w:r>
      <w:r>
        <w:rPr>
          <w:rFonts w:hint="eastAsia" w:eastAsia="仿宋_GB2312"/>
          <w:color w:val="auto"/>
          <w:lang w:val="en-US" w:eastAsia="zh-CN"/>
        </w:rPr>
        <w:t>，交通组织以景观最大化和行驶方便为原则设计主要流线。按照总图规划，</w:t>
      </w:r>
      <w:r>
        <w:rPr>
          <w:rFonts w:hint="eastAsia" w:eastAsia="仿宋_GB2312"/>
          <w:color w:val="auto"/>
          <w:highlight w:val="none"/>
          <w:shd w:val="clear" w:color="auto" w:fill="auto"/>
          <w:lang w:val="en-US" w:eastAsia="zh-CN"/>
        </w:rPr>
        <w:t>正南方向</w:t>
      </w:r>
      <w:r>
        <w:rPr>
          <w:rFonts w:hint="eastAsia"/>
          <w:color w:val="auto"/>
          <w:highlight w:val="none"/>
          <w:shd w:val="clear" w:color="auto" w:fill="auto"/>
          <w:lang w:val="en-US" w:eastAsia="zh-CN"/>
        </w:rPr>
        <w:t>、正北方向各</w:t>
      </w:r>
      <w:r>
        <w:rPr>
          <w:rFonts w:hint="eastAsia" w:eastAsia="仿宋_GB2312"/>
          <w:color w:val="auto"/>
          <w:highlight w:val="none"/>
          <w:shd w:val="clear" w:color="auto" w:fill="auto"/>
          <w:lang w:val="en-US" w:eastAsia="zh-CN"/>
        </w:rPr>
        <w:t>设置一个出入口</w:t>
      </w:r>
      <w:r>
        <w:rPr>
          <w:rFonts w:hint="eastAsia"/>
          <w:color w:val="auto"/>
          <w:highlight w:val="none"/>
          <w:shd w:val="clear" w:color="auto" w:fill="auto"/>
          <w:lang w:val="en-US" w:eastAsia="zh-CN"/>
        </w:rPr>
        <w:t>，</w:t>
      </w:r>
      <w:r>
        <w:rPr>
          <w:color w:val="auto"/>
          <w:sz w:val="24"/>
          <w:szCs w:val="24"/>
          <w:highlight w:val="none"/>
          <w:shd w:val="clear" w:color="auto" w:fill="auto"/>
        </w:rPr>
        <w:t>车行道路设计均为</w:t>
      </w:r>
      <w:r>
        <w:rPr>
          <w:rFonts w:hint="eastAsia"/>
          <w:color w:val="auto"/>
          <w:sz w:val="24"/>
          <w:szCs w:val="24"/>
          <w:highlight w:val="none"/>
          <w:shd w:val="clear" w:color="auto" w:fill="auto"/>
        </w:rPr>
        <w:t>城市型沥青</w:t>
      </w:r>
      <w:r>
        <w:rPr>
          <w:color w:val="auto"/>
          <w:sz w:val="24"/>
          <w:szCs w:val="24"/>
          <w:highlight w:val="none"/>
          <w:shd w:val="clear" w:color="auto" w:fill="auto"/>
        </w:rPr>
        <w:t>混凝土</w:t>
      </w:r>
      <w:r>
        <w:rPr>
          <w:rFonts w:hint="eastAsia"/>
          <w:color w:val="auto"/>
          <w:sz w:val="24"/>
          <w:szCs w:val="24"/>
          <w:highlight w:val="none"/>
          <w:shd w:val="clear" w:color="auto" w:fill="auto"/>
        </w:rPr>
        <w:t>车道</w:t>
      </w:r>
      <w:r>
        <w:rPr>
          <w:rFonts w:hint="eastAsia"/>
          <w:color w:val="auto"/>
          <w:sz w:val="24"/>
          <w:szCs w:val="24"/>
          <w:highlight w:val="none"/>
          <w:shd w:val="clear" w:color="auto" w:fill="auto"/>
          <w:lang w:eastAsia="zh-CN"/>
        </w:rPr>
        <w:t>，</w:t>
      </w:r>
      <w:r>
        <w:rPr>
          <w:rFonts w:hint="eastAsia" w:eastAsia="仿宋_GB2312"/>
          <w:color w:val="auto"/>
          <w:highlight w:val="none"/>
          <w:shd w:val="clear" w:color="auto" w:fill="auto"/>
          <w:lang w:val="en-US" w:eastAsia="zh-CN"/>
        </w:rPr>
        <w:t>道路宽度为</w:t>
      </w:r>
      <w:r>
        <w:rPr>
          <w:rFonts w:hint="eastAsia"/>
          <w:color w:val="auto"/>
          <w:highlight w:val="none"/>
          <w:shd w:val="clear" w:color="auto" w:fill="auto"/>
          <w:lang w:val="en-US" w:eastAsia="zh-CN"/>
        </w:rPr>
        <w:t>8</w:t>
      </w:r>
      <w:r>
        <w:rPr>
          <w:rFonts w:hint="eastAsia" w:eastAsia="仿宋_GB2312"/>
          <w:color w:val="auto"/>
          <w:highlight w:val="none"/>
          <w:shd w:val="clear" w:color="auto" w:fill="auto"/>
          <w:lang w:val="en-US" w:eastAsia="zh-CN"/>
        </w:rPr>
        <w:t>m</w:t>
      </w:r>
      <w:r>
        <w:rPr>
          <w:rFonts w:hint="eastAsia"/>
          <w:color w:val="auto"/>
          <w:highlight w:val="none"/>
          <w:shd w:val="clear" w:color="auto" w:fill="auto"/>
          <w:lang w:val="en-US" w:eastAsia="zh-CN"/>
        </w:rPr>
        <w:t>，</w:t>
      </w:r>
      <w:r>
        <w:rPr>
          <w:rFonts w:hint="eastAsia" w:eastAsia="仿宋_GB2312"/>
          <w:color w:val="auto"/>
          <w:highlight w:val="none"/>
          <w:shd w:val="clear" w:color="auto" w:fill="auto"/>
          <w:lang w:val="en-US" w:eastAsia="zh-CN"/>
        </w:rPr>
        <w:t>场地内道路宽度</w:t>
      </w:r>
      <w:r>
        <w:rPr>
          <w:rFonts w:hint="eastAsia"/>
          <w:color w:val="auto"/>
          <w:highlight w:val="none"/>
          <w:shd w:val="clear" w:color="auto" w:fill="auto"/>
          <w:lang w:val="en-US" w:eastAsia="zh-CN"/>
        </w:rPr>
        <w:t>6</w:t>
      </w:r>
      <w:r>
        <w:rPr>
          <w:rFonts w:hint="eastAsia" w:eastAsia="仿宋_GB2312"/>
          <w:color w:val="auto"/>
          <w:highlight w:val="none"/>
          <w:shd w:val="clear" w:color="auto" w:fill="auto"/>
          <w:lang w:val="en-US" w:eastAsia="zh-CN"/>
        </w:rPr>
        <w:t>米</w:t>
      </w:r>
      <w:r>
        <w:rPr>
          <w:rFonts w:hint="eastAsia"/>
          <w:color w:val="auto"/>
          <w:highlight w:val="none"/>
          <w:shd w:val="clear" w:color="auto" w:fill="auto"/>
          <w:lang w:val="en-US" w:eastAsia="zh-CN"/>
        </w:rPr>
        <w:t>。</w:t>
      </w:r>
    </w:p>
    <w:p w14:paraId="69A41CD9">
      <w:pPr>
        <w:ind w:left="0" w:leftChars="0" w:firstLine="0" w:firstLineChars="0"/>
        <w:rPr>
          <w:rFonts w:hint="default" w:eastAsia="仿宋_GB2312"/>
          <w:color w:val="auto"/>
          <w:lang w:val="en-US" w:eastAsia="zh-CN"/>
        </w:rPr>
      </w:pPr>
      <w:r>
        <w:rPr>
          <w:rFonts w:hint="eastAsia" w:eastAsia="仿宋_GB2312"/>
          <w:color w:val="auto"/>
          <w:lang w:val="en-US" w:eastAsia="zh-CN"/>
        </w:rPr>
        <w:t>场内人车分流，道路旁布置机动车停车场，</w:t>
      </w:r>
      <w:r>
        <w:rPr>
          <w:rFonts w:hint="eastAsia"/>
          <w:color w:val="auto"/>
          <w:lang w:val="en-US" w:eastAsia="zh-CN"/>
        </w:rPr>
        <w:t>不设置绿化用地，</w:t>
      </w:r>
      <w:r>
        <w:rPr>
          <w:rFonts w:hint="eastAsia" w:eastAsia="仿宋_GB2312"/>
          <w:color w:val="auto"/>
          <w:lang w:val="en-US" w:eastAsia="zh-CN"/>
        </w:rPr>
        <w:t>内部道路沿建筑物周边布设，主要道路沿园区内环形布置，可抵达建构筑物各个方位，道路沿线地下布置了雨</w:t>
      </w:r>
      <w:r>
        <w:rPr>
          <w:rFonts w:hint="eastAsia" w:eastAsia="仿宋_GB2312"/>
          <w:color w:val="auto"/>
          <w:highlight w:val="none"/>
          <w:lang w:val="en-US" w:eastAsia="zh-CN"/>
        </w:rPr>
        <w:t>水沟，共布设雨水沟</w:t>
      </w:r>
      <w:r>
        <w:rPr>
          <w:rFonts w:hint="eastAsia"/>
          <w:color w:val="auto"/>
          <w:highlight w:val="none"/>
          <w:lang w:val="en-US" w:eastAsia="zh-CN"/>
        </w:rPr>
        <w:t>1600</w:t>
      </w:r>
      <w:r>
        <w:rPr>
          <w:rFonts w:hint="eastAsia" w:eastAsia="仿宋_GB2312"/>
          <w:color w:val="auto"/>
          <w:highlight w:val="none"/>
          <w:lang w:val="en-US" w:eastAsia="zh-CN"/>
        </w:rPr>
        <w:t>m，地表外侧每隔一段距离布置了雨水口，共布设雨水口</w:t>
      </w:r>
      <w:r>
        <w:rPr>
          <w:rFonts w:hint="eastAsia"/>
          <w:color w:val="auto"/>
          <w:highlight w:val="none"/>
          <w:lang w:val="en-US" w:eastAsia="zh-CN"/>
        </w:rPr>
        <w:t>50</w:t>
      </w:r>
      <w:r>
        <w:rPr>
          <w:rFonts w:hint="eastAsia" w:eastAsia="仿宋_GB2312"/>
          <w:color w:val="auto"/>
          <w:highlight w:val="none"/>
          <w:lang w:val="en-US" w:eastAsia="zh-CN"/>
        </w:rPr>
        <w:t>口，用于收集地表</w:t>
      </w:r>
      <w:r>
        <w:rPr>
          <w:rFonts w:hint="eastAsia" w:eastAsia="仿宋_GB2312"/>
          <w:color w:val="auto"/>
          <w:lang w:val="en-US" w:eastAsia="zh-CN"/>
        </w:rPr>
        <w:t>径流，有效减少雨水淤积，起到了防治水土流失的作用。项目区</w:t>
      </w:r>
      <w:r>
        <w:rPr>
          <w:rFonts w:hint="eastAsia"/>
          <w:color w:val="auto"/>
          <w:lang w:val="en-US" w:eastAsia="zh-CN"/>
        </w:rPr>
        <w:t>附属设施主要</w:t>
      </w:r>
      <w:r>
        <w:rPr>
          <w:rFonts w:hint="eastAsia" w:eastAsia="仿宋_GB2312"/>
          <w:color w:val="auto"/>
          <w:lang w:val="en-US" w:eastAsia="zh-CN"/>
        </w:rPr>
        <w:t>均匀分布于项目内</w:t>
      </w:r>
      <w:r>
        <w:rPr>
          <w:rFonts w:hint="eastAsia"/>
          <w:color w:val="auto"/>
          <w:lang w:val="en-US" w:eastAsia="zh-CN"/>
        </w:rPr>
        <w:t>。</w:t>
      </w:r>
    </w:p>
    <w:p w14:paraId="30DDCD89">
      <w:pPr>
        <w:ind w:firstLine="480"/>
        <w:rPr>
          <w:rFonts w:hint="eastAsia" w:eastAsia="仿宋_GB2312"/>
          <w:color w:val="auto"/>
        </w:rPr>
      </w:pPr>
      <w:r>
        <w:rPr>
          <w:rFonts w:hint="eastAsia" w:eastAsia="仿宋_GB2312"/>
          <w:color w:val="auto"/>
        </w:rPr>
        <w:t>本项目</w:t>
      </w:r>
      <w:r>
        <w:rPr>
          <w:rFonts w:hint="eastAsia"/>
          <w:color w:val="auto"/>
          <w:lang w:val="en-US" w:eastAsia="zh-CN"/>
        </w:rPr>
        <w:t>位于</w:t>
      </w:r>
      <w:r>
        <w:rPr>
          <w:rFonts w:hint="eastAsia"/>
          <w:color w:val="auto"/>
          <w:highlight w:val="none"/>
          <w:lang w:val="en-US" w:eastAsia="zh-CN"/>
        </w:rPr>
        <w:t>四川巨宏新材料有限责任公司厂区内，已由政府进行统一场平施工，项目内部无可剥离表土资源；</w:t>
      </w:r>
      <w:r>
        <w:rPr>
          <w:rFonts w:hint="eastAsia" w:eastAsia="仿宋_GB2312"/>
          <w:color w:val="auto"/>
        </w:rPr>
        <w:t>施工生产生活区</w:t>
      </w:r>
      <w:r>
        <w:rPr>
          <w:rFonts w:hint="eastAsia"/>
          <w:color w:val="auto"/>
          <w:lang w:val="en-US" w:eastAsia="zh-CN"/>
        </w:rPr>
        <w:t>利用</w:t>
      </w:r>
      <w:r>
        <w:rPr>
          <w:rFonts w:hint="eastAsia"/>
          <w:color w:val="auto"/>
          <w:highlight w:val="none"/>
          <w:lang w:val="en-US" w:eastAsia="zh-CN"/>
        </w:rPr>
        <w:t>四川巨宏新材料有限责任公司民工宿舍</w:t>
      </w:r>
      <w:r>
        <w:rPr>
          <w:rFonts w:hint="eastAsia"/>
          <w:color w:val="auto"/>
          <w:lang w:val="en-US" w:eastAsia="zh-CN"/>
        </w:rPr>
        <w:t>，不新增临时占地；</w:t>
      </w:r>
      <w:r>
        <w:rPr>
          <w:rFonts w:hint="eastAsia" w:eastAsia="仿宋_GB2312"/>
          <w:color w:val="auto"/>
        </w:rPr>
        <w:t>施工场地分布于</w:t>
      </w:r>
      <w:r>
        <w:rPr>
          <w:rFonts w:hint="eastAsia"/>
          <w:color w:val="auto"/>
          <w:lang w:val="en-US" w:eastAsia="zh-CN"/>
        </w:rPr>
        <w:t>场</w:t>
      </w:r>
      <w:r>
        <w:rPr>
          <w:rFonts w:hint="eastAsia"/>
          <w:color w:val="auto"/>
          <w:highlight w:val="none"/>
          <w:lang w:val="en-US" w:eastAsia="zh-CN"/>
        </w:rPr>
        <w:t>地北部（道路硬化区内），位于项目红线范围内，</w:t>
      </w:r>
      <w:r>
        <w:rPr>
          <w:rFonts w:hint="eastAsia" w:eastAsia="仿宋_GB2312"/>
          <w:color w:val="auto"/>
          <w:highlight w:val="none"/>
        </w:rPr>
        <w:t>施工</w:t>
      </w:r>
      <w:r>
        <w:rPr>
          <w:rFonts w:hint="eastAsia"/>
          <w:color w:val="auto"/>
          <w:highlight w:val="none"/>
          <w:lang w:val="en-US" w:eastAsia="zh-CN"/>
        </w:rPr>
        <w:t>场地内设置临时堆料、材料加工等，不新增临时占地。</w:t>
      </w:r>
    </w:p>
    <w:p w14:paraId="1CFD1704">
      <w:pPr>
        <w:ind w:firstLine="480"/>
        <w:rPr>
          <w:color w:val="auto"/>
        </w:rPr>
      </w:pPr>
      <w:r>
        <w:rPr>
          <w:rFonts w:hint="eastAsia" w:eastAsia="仿宋_GB2312"/>
          <w:color w:val="auto"/>
        </w:rPr>
        <w:t>经现场调查，</w:t>
      </w:r>
      <w:r>
        <w:rPr>
          <w:rFonts w:hint="eastAsia"/>
          <w:color w:val="auto"/>
          <w:lang w:val="en-US" w:eastAsia="zh-CN"/>
        </w:rPr>
        <w:t>场地位于</w:t>
      </w:r>
      <w:r>
        <w:rPr>
          <w:rFonts w:hint="eastAsia"/>
          <w:color w:val="auto"/>
          <w:highlight w:val="none"/>
          <w:lang w:val="en-US" w:eastAsia="zh-CN"/>
        </w:rPr>
        <w:t>四川巨宏新材料有限责任公司厂区内，</w:t>
      </w:r>
      <w:r>
        <w:rPr>
          <w:rFonts w:hint="eastAsia"/>
          <w:color w:val="auto"/>
          <w:lang w:eastAsia="zh-CN"/>
        </w:rPr>
        <w:t>项目北侧为青江路，南侧为四川巨宏新材料有限责任公司变配电站、食堂、化验室和动力中心，西侧为厂区围墙，外墙外侧为永兴大道，东侧为四川巨宏新材料有限责任公司水电解制氢装置、变配电间和充装单元。</w:t>
      </w:r>
      <w:r>
        <w:rPr>
          <w:rFonts w:hint="eastAsia" w:eastAsia="仿宋_GB2312"/>
          <w:color w:val="auto"/>
          <w:lang w:val="en-US" w:eastAsia="zh-CN"/>
        </w:rPr>
        <w:t>项目区交通便利</w:t>
      </w:r>
      <w:r>
        <w:rPr>
          <w:rFonts w:hint="eastAsia" w:ascii="仿宋_GB2312" w:hAnsi="仿宋_GB2312" w:cs="仿宋_GB2312"/>
          <w:color w:val="auto"/>
          <w:lang w:val="en-US" w:eastAsia="zh-CN"/>
        </w:rPr>
        <w:t>，无需新建施工便道，</w:t>
      </w:r>
      <w:r>
        <w:rPr>
          <w:rFonts w:hint="eastAsia" w:eastAsia="仿宋_GB2312"/>
          <w:color w:val="auto"/>
          <w:lang w:val="en-US" w:eastAsia="zh-CN"/>
        </w:rPr>
        <w:t>项目区交通便利</w:t>
      </w:r>
      <w:r>
        <w:rPr>
          <w:rFonts w:hint="eastAsia" w:ascii="仿宋_GB2312" w:hAnsi="仿宋_GB2312" w:cs="仿宋_GB2312"/>
          <w:color w:val="auto"/>
          <w:lang w:val="en-US" w:eastAsia="zh-CN"/>
        </w:rPr>
        <w:t>，无需新建施工便道。</w:t>
      </w:r>
    </w:p>
    <w:p w14:paraId="5731D40E">
      <w:pPr>
        <w:pStyle w:val="6"/>
        <w:rPr>
          <w:rFonts w:hint="eastAsia"/>
          <w:color w:val="auto"/>
        </w:rPr>
      </w:pPr>
      <w:r>
        <w:rPr>
          <w:rFonts w:hint="eastAsia"/>
          <w:color w:val="auto"/>
        </w:rPr>
        <w:t>2.1.</w:t>
      </w:r>
      <w:r>
        <w:rPr>
          <w:rFonts w:hint="eastAsia"/>
          <w:color w:val="auto"/>
          <w:lang w:val="en-US" w:eastAsia="zh-CN"/>
        </w:rPr>
        <w:t>4</w:t>
      </w:r>
      <w:r>
        <w:rPr>
          <w:rFonts w:hint="eastAsia"/>
          <w:color w:val="auto"/>
        </w:rPr>
        <w:t>.2竖向布置</w:t>
      </w:r>
    </w:p>
    <w:p w14:paraId="2D892712">
      <w:pPr>
        <w:bidi w:val="0"/>
        <w:rPr>
          <w:rFonts w:hint="eastAsia"/>
          <w:color w:val="auto"/>
          <w:highlight w:val="none"/>
        </w:rPr>
      </w:pPr>
      <w:r>
        <w:rPr>
          <w:rFonts w:hint="eastAsia" w:eastAsia="仿宋_GB2312"/>
          <w:color w:val="auto"/>
        </w:rPr>
        <w:t>本项目</w:t>
      </w:r>
      <w:r>
        <w:rPr>
          <w:rFonts w:hint="eastAsia"/>
          <w:color w:val="auto"/>
          <w:lang w:val="en-US" w:eastAsia="zh-CN"/>
        </w:rPr>
        <w:t>位于</w:t>
      </w:r>
      <w:r>
        <w:rPr>
          <w:rFonts w:hint="eastAsia"/>
          <w:color w:val="auto"/>
          <w:highlight w:val="none"/>
          <w:lang w:val="en-US" w:eastAsia="zh-CN"/>
        </w:rPr>
        <w:t>四川巨宏新材料有限责任公司厂区内，已由政府进行统一场平施工，根据</w:t>
      </w:r>
      <w:r>
        <w:rPr>
          <w:rFonts w:hint="default"/>
          <w:color w:val="auto"/>
          <w:highlight w:val="none"/>
          <w:lang w:val="en-US" w:eastAsia="zh-CN"/>
        </w:rPr>
        <w:t>拟建场地</w:t>
      </w:r>
      <w:r>
        <w:rPr>
          <w:rFonts w:hint="eastAsia"/>
          <w:color w:val="auto"/>
          <w:highlight w:val="none"/>
          <w:lang w:val="en-US" w:eastAsia="zh-CN"/>
        </w:rPr>
        <w:t>整体</w:t>
      </w:r>
      <w:r>
        <w:rPr>
          <w:rFonts w:hint="default"/>
          <w:color w:val="auto"/>
          <w:highlight w:val="none"/>
          <w:lang w:eastAsia="zh-CN"/>
        </w:rPr>
        <w:t>地形</w:t>
      </w:r>
      <w:r>
        <w:rPr>
          <w:rFonts w:hint="eastAsia"/>
          <w:color w:val="auto"/>
          <w:highlight w:val="none"/>
          <w:lang w:val="en-US" w:eastAsia="zh-CN"/>
        </w:rPr>
        <w:t>起伏不大，</w:t>
      </w:r>
      <w:r>
        <w:rPr>
          <w:rFonts w:hint="default"/>
          <w:color w:val="auto"/>
          <w:highlight w:val="none"/>
          <w:lang w:eastAsia="zh-CN"/>
        </w:rPr>
        <w:t>高程约</w:t>
      </w:r>
      <w:r>
        <w:rPr>
          <w:rFonts w:hint="eastAsia"/>
          <w:color w:val="auto"/>
          <w:highlight w:val="none"/>
          <w:lang w:val="en-US" w:eastAsia="zh-CN"/>
        </w:rPr>
        <w:t>562.47</w:t>
      </w:r>
      <w:r>
        <w:rPr>
          <w:rFonts w:hint="default"/>
          <w:color w:val="auto"/>
          <w:highlight w:val="none"/>
          <w:lang w:eastAsia="zh-CN"/>
        </w:rPr>
        <w:t>～</w:t>
      </w:r>
      <w:r>
        <w:rPr>
          <w:rFonts w:hint="eastAsia"/>
          <w:color w:val="auto"/>
          <w:highlight w:val="none"/>
          <w:lang w:val="en-US" w:eastAsia="zh-CN"/>
        </w:rPr>
        <w:t>563.20</w:t>
      </w:r>
      <w:r>
        <w:rPr>
          <w:rFonts w:hint="default"/>
          <w:color w:val="auto"/>
          <w:highlight w:val="none"/>
          <w:lang w:val="en-US" w:eastAsia="zh-CN"/>
        </w:rPr>
        <w:t>m，高差约</w:t>
      </w:r>
      <w:r>
        <w:rPr>
          <w:rFonts w:hint="eastAsia"/>
          <w:color w:val="auto"/>
          <w:highlight w:val="none"/>
          <w:lang w:val="en-US" w:eastAsia="zh-CN"/>
        </w:rPr>
        <w:t>0.73</w:t>
      </w:r>
      <w:r>
        <w:rPr>
          <w:rFonts w:hint="default"/>
          <w:color w:val="auto"/>
          <w:highlight w:val="none"/>
          <w:lang w:val="en-US" w:eastAsia="zh-CN"/>
        </w:rPr>
        <w:t>m。</w:t>
      </w:r>
    </w:p>
    <w:p w14:paraId="302E6BDD">
      <w:pPr>
        <w:pStyle w:val="3"/>
        <w:rPr>
          <w:color w:val="auto"/>
        </w:rPr>
      </w:pPr>
      <w:bookmarkStart w:id="70" w:name="_Toc24666"/>
      <w:r>
        <w:rPr>
          <w:rFonts w:hint="eastAsia"/>
          <w:color w:val="auto"/>
        </w:rPr>
        <w:t>2.2 施工组织</w:t>
      </w:r>
      <w:bookmarkEnd w:id="70"/>
    </w:p>
    <w:p w14:paraId="0D7CE3D7">
      <w:pPr>
        <w:pStyle w:val="5"/>
        <w:bidi w:val="0"/>
        <w:rPr>
          <w:color w:val="auto"/>
        </w:rPr>
      </w:pPr>
      <w:r>
        <w:rPr>
          <w:rFonts w:hint="eastAsia"/>
          <w:color w:val="auto"/>
          <w:lang w:val="en-US" w:eastAsia="zh-CN"/>
        </w:rPr>
        <w:t>2.2.1</w:t>
      </w:r>
      <w:r>
        <w:rPr>
          <w:color w:val="auto"/>
        </w:rPr>
        <w:t>施工组织与管理</w:t>
      </w:r>
    </w:p>
    <w:p w14:paraId="4C4B13B5">
      <w:pPr>
        <w:bidi w:val="0"/>
        <w:rPr>
          <w:color w:val="auto"/>
        </w:rPr>
      </w:pPr>
      <w:r>
        <w:rPr>
          <w:color w:val="auto"/>
        </w:rPr>
        <w:t>本项目做好施工前准备工作，从工程管理、技术人员、施工场地区布置、工程用水、电力和材料供应、施工机械设备、施工测量方面提出要求，科学地进行人员、施工仪器和机械设备、材料等方面的组织，以保证项目高质量按期实施完成。精心组织安排，可有效的减少项目的施工时间，一定程度上减少水土流失危害；购买工程施工材料时，遵守水土保持法律法规，选择有当地行政部门批准核发、具有砂石料开采资证的料场；并且在设计和施工各环节中，强调环保意识，注意水土流失防治。</w:t>
      </w:r>
    </w:p>
    <w:p w14:paraId="2CEEAF1B">
      <w:pPr>
        <w:pStyle w:val="5"/>
        <w:bidi w:val="0"/>
        <w:rPr>
          <w:color w:val="auto"/>
        </w:rPr>
      </w:pPr>
      <w:r>
        <w:rPr>
          <w:rFonts w:hint="eastAsia"/>
          <w:color w:val="auto"/>
          <w:lang w:val="en-US" w:eastAsia="zh-CN"/>
        </w:rPr>
        <w:t>2.2.2</w:t>
      </w:r>
      <w:r>
        <w:rPr>
          <w:color w:val="auto"/>
        </w:rPr>
        <w:t>施工条件</w:t>
      </w:r>
    </w:p>
    <w:p w14:paraId="60C12AA4">
      <w:pPr>
        <w:bidi w:val="0"/>
        <w:rPr>
          <w:color w:val="auto"/>
        </w:rPr>
      </w:pPr>
      <w:r>
        <w:rPr>
          <w:rFonts w:hint="eastAsia"/>
          <w:color w:val="auto"/>
          <w:lang w:val="en-US" w:eastAsia="zh-CN"/>
        </w:rPr>
        <w:t>1、</w:t>
      </w:r>
      <w:r>
        <w:rPr>
          <w:color w:val="auto"/>
        </w:rPr>
        <w:t>建筑材料</w:t>
      </w:r>
    </w:p>
    <w:p w14:paraId="0BAA83B6">
      <w:pPr>
        <w:ind w:firstLine="480"/>
        <w:rPr>
          <w:rFonts w:eastAsia="仿宋_GB2312"/>
          <w:color w:val="auto"/>
          <w:highlight w:val="none"/>
        </w:rPr>
      </w:pPr>
      <w:r>
        <w:rPr>
          <w:rFonts w:eastAsia="仿宋_GB2312"/>
          <w:color w:val="auto"/>
          <w:highlight w:val="none"/>
        </w:rPr>
        <w:t>本工程施工所需要的钢材、木材、水泥、砂料、卵石、石料、土料等全部能在</w:t>
      </w:r>
      <w:r>
        <w:rPr>
          <w:rFonts w:hint="eastAsia"/>
          <w:color w:val="auto"/>
          <w:highlight w:val="none"/>
          <w:lang w:val="en-US" w:eastAsia="zh-CN"/>
        </w:rPr>
        <w:t>雅安市及周边进行</w:t>
      </w:r>
      <w:r>
        <w:rPr>
          <w:rFonts w:eastAsia="仿宋_GB2312"/>
          <w:color w:val="auto"/>
          <w:highlight w:val="none"/>
        </w:rPr>
        <w:t>采购，可满足需求。</w:t>
      </w:r>
    </w:p>
    <w:p w14:paraId="7315B53A">
      <w:pPr>
        <w:ind w:firstLine="480"/>
        <w:rPr>
          <w:rFonts w:eastAsia="仿宋_GB2312"/>
          <w:color w:val="auto"/>
          <w:highlight w:val="none"/>
        </w:rPr>
      </w:pPr>
      <w:r>
        <w:rPr>
          <w:rFonts w:hint="eastAsia"/>
          <w:color w:val="auto"/>
          <w:highlight w:val="none"/>
          <w:lang w:val="en-US" w:eastAsia="zh-CN"/>
        </w:rPr>
        <w:t>2、</w:t>
      </w:r>
      <w:r>
        <w:rPr>
          <w:rFonts w:eastAsia="仿宋_GB2312"/>
          <w:color w:val="auto"/>
          <w:highlight w:val="none"/>
        </w:rPr>
        <w:t>运输条件</w:t>
      </w:r>
    </w:p>
    <w:p w14:paraId="0F3392E6">
      <w:pPr>
        <w:ind w:firstLine="480"/>
        <w:rPr>
          <w:color w:val="auto"/>
        </w:rPr>
      </w:pPr>
      <w:r>
        <w:rPr>
          <w:rFonts w:hint="eastAsia" w:eastAsia="仿宋_GB2312"/>
          <w:color w:val="auto"/>
        </w:rPr>
        <w:t>经现场调查，</w:t>
      </w:r>
      <w:r>
        <w:rPr>
          <w:rFonts w:hint="eastAsia"/>
          <w:color w:val="auto"/>
          <w:lang w:val="en-US" w:eastAsia="zh-CN"/>
        </w:rPr>
        <w:t>场地位于</w:t>
      </w:r>
      <w:r>
        <w:rPr>
          <w:rFonts w:hint="eastAsia"/>
          <w:color w:val="auto"/>
          <w:highlight w:val="none"/>
          <w:lang w:val="en-US" w:eastAsia="zh-CN"/>
        </w:rPr>
        <w:t>四川巨宏新材料有限责任公司厂区内，</w:t>
      </w:r>
      <w:r>
        <w:rPr>
          <w:rFonts w:hint="eastAsia" w:eastAsia="仿宋_GB2312"/>
          <w:color w:val="auto"/>
          <w:lang w:val="en-US" w:eastAsia="zh-CN"/>
        </w:rPr>
        <w:t>项目区交通便利</w:t>
      </w:r>
      <w:r>
        <w:rPr>
          <w:rFonts w:hint="eastAsia" w:ascii="仿宋_GB2312" w:hAnsi="仿宋_GB2312" w:cs="仿宋_GB2312"/>
          <w:color w:val="auto"/>
          <w:lang w:val="en-US" w:eastAsia="zh-CN"/>
        </w:rPr>
        <w:t>，无需新建施工便道，</w:t>
      </w:r>
      <w:r>
        <w:rPr>
          <w:rFonts w:hint="eastAsia" w:eastAsia="仿宋_GB2312"/>
          <w:color w:val="auto"/>
          <w:lang w:val="en-US" w:eastAsia="zh-CN"/>
        </w:rPr>
        <w:t>项目区交通便利</w:t>
      </w:r>
      <w:r>
        <w:rPr>
          <w:rFonts w:hint="eastAsia" w:ascii="仿宋_GB2312" w:hAnsi="仿宋_GB2312" w:cs="仿宋_GB2312"/>
          <w:color w:val="auto"/>
          <w:lang w:val="en-US" w:eastAsia="zh-CN"/>
        </w:rPr>
        <w:t>，无需新建施工便道。</w:t>
      </w:r>
    </w:p>
    <w:p w14:paraId="38374898">
      <w:pPr>
        <w:ind w:firstLine="480"/>
        <w:rPr>
          <w:rFonts w:eastAsia="仿宋_GB2312"/>
          <w:color w:val="auto"/>
          <w:highlight w:val="none"/>
        </w:rPr>
      </w:pPr>
      <w:r>
        <w:rPr>
          <w:rFonts w:hint="eastAsia"/>
          <w:color w:val="auto"/>
          <w:highlight w:val="none"/>
          <w:lang w:val="en-US" w:eastAsia="zh-CN"/>
        </w:rPr>
        <w:t>3、</w:t>
      </w:r>
      <w:r>
        <w:rPr>
          <w:rFonts w:eastAsia="仿宋_GB2312"/>
          <w:color w:val="auto"/>
          <w:highlight w:val="none"/>
        </w:rPr>
        <w:t>施工用水及用电</w:t>
      </w:r>
    </w:p>
    <w:p w14:paraId="31D3A4BE">
      <w:pPr>
        <w:ind w:firstLine="480"/>
        <w:rPr>
          <w:rFonts w:eastAsia="仿宋_GB2312"/>
          <w:color w:val="auto"/>
          <w:highlight w:val="none"/>
        </w:rPr>
      </w:pPr>
      <w:r>
        <w:rPr>
          <w:rFonts w:eastAsia="仿宋_GB2312"/>
          <w:color w:val="auto"/>
          <w:highlight w:val="none"/>
        </w:rPr>
        <w:t>项目施工过程中所需用水，可利用项目区附近现有的</w:t>
      </w:r>
      <w:r>
        <w:rPr>
          <w:rFonts w:hint="eastAsia"/>
          <w:color w:val="auto"/>
          <w:highlight w:val="none"/>
          <w:lang w:val="en-US" w:eastAsia="zh-CN"/>
        </w:rPr>
        <w:t>园区</w:t>
      </w:r>
      <w:r>
        <w:rPr>
          <w:rFonts w:eastAsia="仿宋_GB2312"/>
          <w:color w:val="auto"/>
          <w:highlight w:val="none"/>
        </w:rPr>
        <w:t>供水系统接入。本项目工程用电由</w:t>
      </w:r>
      <w:r>
        <w:rPr>
          <w:rFonts w:hint="eastAsia" w:eastAsia="仿宋_GB2312"/>
          <w:color w:val="auto"/>
          <w:highlight w:val="none"/>
          <w:lang w:eastAsia="zh-CN"/>
        </w:rPr>
        <w:t>市政电源</w:t>
      </w:r>
      <w:r>
        <w:rPr>
          <w:rFonts w:eastAsia="仿宋_GB2312"/>
          <w:color w:val="auto"/>
          <w:highlight w:val="none"/>
        </w:rPr>
        <w:t>引</w:t>
      </w:r>
      <w:r>
        <w:rPr>
          <w:rFonts w:hint="eastAsia" w:eastAsia="仿宋_GB2312"/>
          <w:color w:val="auto"/>
          <w:highlight w:val="none"/>
          <w:lang w:eastAsia="zh-CN"/>
        </w:rPr>
        <w:t>入</w:t>
      </w:r>
      <w:r>
        <w:rPr>
          <w:rFonts w:eastAsia="仿宋_GB2312"/>
          <w:color w:val="auto"/>
          <w:highlight w:val="none"/>
        </w:rPr>
        <w:t>，满足建设供电需要。</w:t>
      </w:r>
    </w:p>
    <w:p w14:paraId="50B181B4">
      <w:pPr>
        <w:pStyle w:val="5"/>
        <w:bidi w:val="0"/>
        <w:rPr>
          <w:color w:val="auto"/>
        </w:rPr>
      </w:pPr>
      <w:r>
        <w:rPr>
          <w:rFonts w:hint="eastAsia"/>
          <w:color w:val="auto"/>
          <w:lang w:val="en-US" w:eastAsia="zh-CN"/>
        </w:rPr>
        <w:t>2.2.3</w:t>
      </w:r>
      <w:r>
        <w:rPr>
          <w:color w:val="auto"/>
        </w:rPr>
        <w:t>施工场地布设</w:t>
      </w:r>
    </w:p>
    <w:p w14:paraId="27484151">
      <w:pPr>
        <w:bidi w:val="0"/>
        <w:rPr>
          <w:color w:val="auto"/>
        </w:rPr>
      </w:pPr>
      <w:r>
        <w:rPr>
          <w:rFonts w:hint="eastAsia"/>
          <w:color w:val="auto"/>
          <w:lang w:val="en-US" w:eastAsia="zh-CN"/>
        </w:rPr>
        <w:t>1、</w:t>
      </w:r>
      <w:r>
        <w:rPr>
          <w:color w:val="auto"/>
        </w:rPr>
        <w:t>施工场地区布设</w:t>
      </w:r>
    </w:p>
    <w:p w14:paraId="550990AC">
      <w:pPr>
        <w:bidi w:val="0"/>
        <w:rPr>
          <w:rFonts w:hint="default"/>
          <w:color w:val="auto"/>
          <w:lang w:val="en-US" w:eastAsia="zh-CN"/>
        </w:rPr>
      </w:pPr>
      <w:r>
        <w:rPr>
          <w:rFonts w:hint="default"/>
          <w:color w:val="auto"/>
          <w:lang w:val="en-US" w:eastAsia="zh-CN"/>
        </w:rPr>
        <w:t>a施工场地区：</w:t>
      </w:r>
    </w:p>
    <w:p w14:paraId="4F312E00">
      <w:pPr>
        <w:ind w:firstLine="480"/>
        <w:rPr>
          <w:rFonts w:hint="eastAsia" w:ascii="Times New Roman" w:hAnsi="Times New Roman" w:eastAsia="仿宋_GB2312" w:cs="Times New Roman"/>
          <w:color w:val="auto"/>
          <w:kern w:val="0"/>
          <w:highlight w:val="none"/>
          <w:lang w:val="en-US" w:eastAsia="zh-CN"/>
        </w:rPr>
      </w:pPr>
      <w:r>
        <w:rPr>
          <w:rFonts w:hint="eastAsia" w:ascii="Times New Roman" w:hAnsi="Times New Roman" w:eastAsia="仿宋_GB2312" w:cs="Times New Roman"/>
          <w:color w:val="auto"/>
          <w:kern w:val="0"/>
          <w:highlight w:val="none"/>
          <w:lang w:val="en-US" w:eastAsia="zh-CN"/>
        </w:rPr>
        <w:t>施工场地主要为材料的临时堆放、加工场地。</w:t>
      </w:r>
      <w:r>
        <w:rPr>
          <w:rFonts w:hint="eastAsia" w:cs="Times New Roman"/>
          <w:color w:val="auto"/>
          <w:kern w:val="0"/>
          <w:highlight w:val="none"/>
          <w:lang w:val="en-US" w:eastAsia="zh-CN"/>
        </w:rPr>
        <w:t>施工场地主要布设于项目区北侧，</w:t>
      </w:r>
      <w:r>
        <w:rPr>
          <w:rFonts w:hint="eastAsia" w:ascii="Times New Roman" w:hAnsi="Times New Roman" w:eastAsia="仿宋_GB2312" w:cs="Times New Roman"/>
          <w:color w:val="auto"/>
          <w:kern w:val="0"/>
          <w:highlight w:val="none"/>
          <w:lang w:val="en-US" w:eastAsia="zh-CN"/>
        </w:rPr>
        <w:t>占地面积约</w:t>
      </w:r>
      <w:r>
        <w:rPr>
          <w:rFonts w:hint="eastAsia" w:cs="Times New Roman"/>
          <w:color w:val="auto"/>
          <w:kern w:val="0"/>
          <w:highlight w:val="none"/>
          <w:lang w:val="en-US" w:eastAsia="zh-CN"/>
        </w:rPr>
        <w:t>0.20</w:t>
      </w:r>
      <w:r>
        <w:rPr>
          <w:rFonts w:hint="eastAsia" w:ascii="Times New Roman" w:hAnsi="Times New Roman" w:eastAsia="仿宋_GB2312" w:cs="Times New Roman"/>
          <w:color w:val="auto"/>
          <w:kern w:val="0"/>
          <w:highlight w:val="none"/>
          <w:lang w:val="en-US" w:eastAsia="zh-CN"/>
        </w:rPr>
        <w:t>hm</w:t>
      </w:r>
      <w:r>
        <w:rPr>
          <w:rFonts w:hint="eastAsia" w:ascii="Times New Roman" w:hAnsi="Times New Roman" w:eastAsia="仿宋_GB2312" w:cs="Times New Roman"/>
          <w:color w:val="auto"/>
          <w:kern w:val="0"/>
          <w:highlight w:val="none"/>
          <w:vertAlign w:val="superscript"/>
          <w:lang w:val="en-US" w:eastAsia="zh-CN"/>
        </w:rPr>
        <w:t>2</w:t>
      </w:r>
      <w:r>
        <w:rPr>
          <w:rFonts w:hint="eastAsia" w:ascii="Times New Roman" w:hAnsi="Times New Roman" w:eastAsia="仿宋_GB2312" w:cs="Times New Roman"/>
          <w:color w:val="auto"/>
          <w:kern w:val="0"/>
          <w:highlight w:val="none"/>
          <w:lang w:val="en-US" w:eastAsia="zh-CN"/>
        </w:rPr>
        <w:t>，施工场地位于项目红线内，未新增临时占地。</w:t>
      </w:r>
    </w:p>
    <w:p w14:paraId="2AAAE2CB">
      <w:pPr>
        <w:rPr>
          <w:rFonts w:hint="default"/>
          <w:color w:val="auto"/>
          <w:highlight w:val="none"/>
          <w:lang w:val="en-US" w:eastAsia="zh-CN"/>
        </w:rPr>
      </w:pPr>
      <w:r>
        <w:rPr>
          <w:rFonts w:hint="eastAsia"/>
          <w:color w:val="auto"/>
          <w:highlight w:val="none"/>
          <w:lang w:val="en-US" w:eastAsia="zh-CN"/>
        </w:rPr>
        <w:t>b临时堆土区</w:t>
      </w:r>
    </w:p>
    <w:p w14:paraId="3E50F984">
      <w:pPr>
        <w:ind w:firstLine="480"/>
        <w:rPr>
          <w:rFonts w:hint="default"/>
          <w:color w:val="0000FF"/>
          <w:highlight w:val="none"/>
          <w:lang w:val="en-US" w:eastAsia="zh-CN"/>
        </w:rPr>
      </w:pPr>
      <w:r>
        <w:rPr>
          <w:rFonts w:eastAsia="仿宋_GB2312"/>
          <w:color w:val="auto"/>
          <w:highlight w:val="none"/>
        </w:rPr>
        <w:t>本项目建设区占地类型为</w:t>
      </w:r>
      <w:r>
        <w:rPr>
          <w:rFonts w:hint="eastAsia"/>
          <w:color w:val="auto"/>
          <w:highlight w:val="none"/>
          <w:lang w:val="en-US" w:eastAsia="zh-CN"/>
        </w:rPr>
        <w:t>耕地</w:t>
      </w:r>
      <w:r>
        <w:rPr>
          <w:rFonts w:eastAsia="仿宋_GB2312"/>
          <w:color w:val="auto"/>
          <w:highlight w:val="none"/>
        </w:rPr>
        <w:t>，</w:t>
      </w:r>
      <w:r>
        <w:rPr>
          <w:rFonts w:hint="eastAsia"/>
          <w:color w:val="auto"/>
          <w:highlight w:val="none"/>
          <w:lang w:val="en-US" w:eastAsia="zh-CN"/>
        </w:rPr>
        <w:t>本项目建设前已由政府进行统一场平施工，项目内部无可剥离表土资源，不布设临时堆土场。</w:t>
      </w:r>
    </w:p>
    <w:p w14:paraId="7EF39976">
      <w:pPr>
        <w:rPr>
          <w:rFonts w:hint="default" w:eastAsia="仿宋_GB2312"/>
          <w:color w:val="auto"/>
          <w:highlight w:val="none"/>
          <w:lang w:val="en-US" w:eastAsia="zh-CN"/>
        </w:rPr>
      </w:pPr>
      <w:r>
        <w:rPr>
          <w:rFonts w:hint="eastAsia"/>
          <w:color w:val="auto"/>
          <w:highlight w:val="none"/>
          <w:lang w:val="en-US" w:eastAsia="zh-CN"/>
        </w:rPr>
        <w:t>c</w:t>
      </w:r>
      <w:r>
        <w:rPr>
          <w:rFonts w:hint="eastAsia" w:eastAsia="仿宋_GB2312"/>
          <w:color w:val="auto"/>
          <w:highlight w:val="none"/>
          <w:lang w:val="en-US" w:eastAsia="zh-CN"/>
        </w:rPr>
        <w:t>施工</w:t>
      </w:r>
      <w:r>
        <w:rPr>
          <w:rFonts w:hint="eastAsia"/>
          <w:color w:val="auto"/>
          <w:highlight w:val="none"/>
          <w:lang w:val="en-US" w:eastAsia="zh-CN"/>
        </w:rPr>
        <w:t>生产生活区</w:t>
      </w:r>
      <w:r>
        <w:rPr>
          <w:rFonts w:hint="eastAsia" w:eastAsia="仿宋_GB2312"/>
          <w:color w:val="auto"/>
          <w:highlight w:val="none"/>
          <w:lang w:val="en-US" w:eastAsia="zh-CN"/>
        </w:rPr>
        <w:t>：</w:t>
      </w:r>
    </w:p>
    <w:p w14:paraId="690749B0">
      <w:pPr>
        <w:ind w:firstLine="480"/>
        <w:rPr>
          <w:rFonts w:hint="eastAsia" w:eastAsia="仿宋_GB2312"/>
          <w:color w:val="auto"/>
          <w:highlight w:val="none"/>
          <w:lang w:val="en-US" w:eastAsia="zh-CN"/>
        </w:rPr>
      </w:pPr>
      <w:r>
        <w:rPr>
          <w:rFonts w:hint="eastAsia" w:eastAsia="仿宋_GB2312"/>
          <w:color w:val="auto"/>
          <w:highlight w:val="none"/>
          <w:lang w:val="en-US" w:eastAsia="zh-CN"/>
        </w:rPr>
        <w:t>本项目</w:t>
      </w:r>
      <w:r>
        <w:rPr>
          <w:rFonts w:hint="eastAsia"/>
          <w:color w:val="auto"/>
          <w:highlight w:val="none"/>
          <w:lang w:val="en-US" w:eastAsia="zh-CN"/>
        </w:rPr>
        <w:t>施工生产生活区</w:t>
      </w:r>
      <w:r>
        <w:rPr>
          <w:rFonts w:hint="eastAsia" w:eastAsia="仿宋_GB2312"/>
          <w:color w:val="auto"/>
          <w:highlight w:val="none"/>
          <w:lang w:val="en-US" w:eastAsia="zh-CN"/>
        </w:rPr>
        <w:t>主要为办公区、员工住房等。</w:t>
      </w:r>
      <w:r>
        <w:rPr>
          <w:rFonts w:hint="eastAsia"/>
          <w:color w:val="auto"/>
          <w:highlight w:val="none"/>
          <w:lang w:val="en-US" w:eastAsia="zh-CN"/>
        </w:rPr>
        <w:t>根据业主介绍，</w:t>
      </w:r>
      <w:r>
        <w:rPr>
          <w:rFonts w:hint="eastAsia" w:eastAsia="仿宋_GB2312"/>
          <w:color w:val="auto"/>
          <w:highlight w:val="none"/>
          <w:lang w:val="en-US" w:eastAsia="zh-CN"/>
        </w:rPr>
        <w:t>本项目的</w:t>
      </w:r>
      <w:r>
        <w:rPr>
          <w:rFonts w:hint="eastAsia"/>
          <w:color w:val="auto"/>
          <w:highlight w:val="none"/>
          <w:lang w:val="en-US" w:eastAsia="zh-CN"/>
        </w:rPr>
        <w:t>施工生产生活区直接利用四川巨宏新材料有限责任公司民工宿舍，</w:t>
      </w:r>
      <w:r>
        <w:rPr>
          <w:rFonts w:hint="eastAsia" w:eastAsia="仿宋_GB2312"/>
          <w:color w:val="auto"/>
          <w:highlight w:val="none"/>
          <w:lang w:val="en-US" w:eastAsia="zh-CN"/>
        </w:rPr>
        <w:t>不新增占地。</w:t>
      </w:r>
    </w:p>
    <w:p w14:paraId="7A3137E0">
      <w:pPr>
        <w:bidi w:val="0"/>
        <w:rPr>
          <w:color w:val="auto"/>
        </w:rPr>
      </w:pPr>
      <w:r>
        <w:rPr>
          <w:rFonts w:hint="eastAsia"/>
          <w:color w:val="auto"/>
          <w:lang w:val="en-US" w:eastAsia="zh-CN"/>
        </w:rPr>
        <w:t>2、</w:t>
      </w:r>
      <w:r>
        <w:rPr>
          <w:color w:val="auto"/>
        </w:rPr>
        <w:t>施工便道</w:t>
      </w:r>
    </w:p>
    <w:p w14:paraId="3CE322EE">
      <w:pPr>
        <w:bidi w:val="0"/>
        <w:rPr>
          <w:rFonts w:eastAsia="仿宋_GB2312"/>
          <w:color w:val="auto"/>
          <w:highlight w:val="yellow"/>
        </w:rPr>
      </w:pPr>
      <w:r>
        <w:rPr>
          <w:color w:val="auto"/>
        </w:rPr>
        <w:t>本工程施工外部道路利用周边现有道路，工程建设中无需新建临时施工便道，能满足施工要求。</w:t>
      </w:r>
    </w:p>
    <w:p w14:paraId="5BF1ECF3">
      <w:pPr>
        <w:ind w:firstLine="480"/>
        <w:rPr>
          <w:rFonts w:eastAsia="仿宋_GB2312"/>
          <w:color w:val="auto"/>
          <w:highlight w:val="none"/>
        </w:rPr>
      </w:pPr>
      <w:r>
        <w:rPr>
          <w:rFonts w:hint="eastAsia"/>
          <w:color w:val="auto"/>
          <w:highlight w:val="none"/>
          <w:lang w:val="en-US" w:eastAsia="zh-CN"/>
        </w:rPr>
        <w:t>3、</w:t>
      </w:r>
      <w:r>
        <w:rPr>
          <w:rFonts w:eastAsia="仿宋_GB2312"/>
          <w:color w:val="auto"/>
          <w:highlight w:val="none"/>
        </w:rPr>
        <w:t>施工方法</w:t>
      </w:r>
    </w:p>
    <w:p w14:paraId="3A689F02">
      <w:pPr>
        <w:ind w:firstLine="511" w:firstLineChars="213"/>
        <w:rPr>
          <w:rFonts w:eastAsia="仿宋_GB2312"/>
          <w:color w:val="auto"/>
          <w:highlight w:val="none"/>
        </w:rPr>
      </w:pPr>
      <w:r>
        <w:rPr>
          <w:rFonts w:hint="eastAsia"/>
          <w:color w:val="auto"/>
          <w:szCs w:val="21"/>
          <w:highlight w:val="none"/>
          <w:lang w:val="en-US" w:eastAsia="zh-CN"/>
        </w:rPr>
        <w:t xml:space="preserve"> </w:t>
      </w:r>
      <w:r>
        <w:rPr>
          <w:rFonts w:eastAsia="仿宋_GB2312"/>
          <w:color w:val="auto"/>
          <w:szCs w:val="21"/>
          <w:highlight w:val="none"/>
        </w:rPr>
        <w:t>项目区施工主要包括建筑物施工、</w:t>
      </w:r>
      <w:r>
        <w:rPr>
          <w:rFonts w:hint="eastAsia"/>
          <w:color w:val="auto"/>
          <w:szCs w:val="21"/>
          <w:highlight w:val="none"/>
          <w:lang w:val="en-US" w:eastAsia="zh-CN"/>
        </w:rPr>
        <w:t>道路硬化</w:t>
      </w:r>
      <w:r>
        <w:rPr>
          <w:rFonts w:eastAsia="仿宋_GB2312"/>
          <w:color w:val="auto"/>
          <w:szCs w:val="21"/>
          <w:highlight w:val="none"/>
        </w:rPr>
        <w:t>修建、配套</w:t>
      </w:r>
      <w:r>
        <w:rPr>
          <w:rFonts w:eastAsia="仿宋_GB2312"/>
          <w:color w:val="auto"/>
          <w:highlight w:val="none"/>
        </w:rPr>
        <w:t>工程施工等。在施工过程中拟采用机械施工与人工施工相结合的方法。</w:t>
      </w:r>
    </w:p>
    <w:p w14:paraId="54245029">
      <w:pPr>
        <w:ind w:firstLine="511" w:firstLineChars="213"/>
        <w:rPr>
          <w:rFonts w:hint="default"/>
          <w:color w:val="auto"/>
          <w:highlight w:val="none"/>
          <w:lang w:val="en-US" w:eastAsia="zh-CN"/>
        </w:rPr>
      </w:pPr>
      <w:r>
        <w:rPr>
          <w:rFonts w:eastAsia="仿宋_GB2312"/>
          <w:color w:val="auto"/>
          <w:highlight w:val="none"/>
        </w:rPr>
        <w:t>1）</w:t>
      </w:r>
      <w:r>
        <w:rPr>
          <w:rFonts w:hint="eastAsia"/>
          <w:color w:val="auto"/>
          <w:highlight w:val="none"/>
          <w:lang w:val="en-US" w:eastAsia="zh-CN"/>
        </w:rPr>
        <w:t>建筑物施工</w:t>
      </w:r>
    </w:p>
    <w:p w14:paraId="7896F82C">
      <w:pPr>
        <w:bidi w:val="0"/>
        <w:rPr>
          <w:color w:val="auto"/>
          <w:highlight w:val="none"/>
        </w:rPr>
      </w:pPr>
      <w:r>
        <w:rPr>
          <w:color w:val="auto"/>
          <w:highlight w:val="none"/>
        </w:rPr>
        <w:t>主要包括基础开挖、循环水供水管、厂区内排水沟道和管线开挖</w:t>
      </w:r>
      <w:r>
        <w:rPr>
          <w:rFonts w:hint="eastAsia"/>
          <w:color w:val="auto"/>
          <w:highlight w:val="none"/>
          <w:lang w:eastAsia="zh-CN"/>
        </w:rPr>
        <w:t>。</w:t>
      </w:r>
      <w:r>
        <w:rPr>
          <w:color w:val="auto"/>
          <w:highlight w:val="none"/>
        </w:rPr>
        <w:t>考虑采用机械开挖和人工挖土修边相结合的方式。基础土方回填按设计要求，采用分层碾压或强夯，按照设计和施工规范的要求，严格检查和验收，务必做到回填土密实均匀，达到设计要求。管沟施工采取边铺设边回填的分段施工方法，减少裸露时间。相邻及同埋深的管、沟一次开挖施工，距建（构）筑物基础较近的管、沟应与基础一次完成，以减少相互干扰及二次开挖。项目建设主要材料有水泥、钢材、混凝土砂浆等，可就近购买使用。为了保证工程质量，加快工程进度，建设单位选择购买适合本工程需要的商品砼，并由供应方通过专用车辆运到施工现场进行施工。</w:t>
      </w:r>
    </w:p>
    <w:p w14:paraId="226F97A4">
      <w:pPr>
        <w:ind w:firstLine="480"/>
        <w:rPr>
          <w:rFonts w:eastAsia="仿宋_GB2312"/>
          <w:color w:val="auto"/>
          <w:highlight w:val="none"/>
        </w:rPr>
      </w:pPr>
      <w:r>
        <w:rPr>
          <w:rFonts w:hint="eastAsia"/>
          <w:color w:val="auto"/>
          <w:highlight w:val="none"/>
          <w:lang w:val="en-US" w:eastAsia="zh-CN"/>
        </w:rPr>
        <w:t>2</w:t>
      </w:r>
      <w:r>
        <w:rPr>
          <w:rFonts w:eastAsia="仿宋_GB2312"/>
          <w:color w:val="auto"/>
          <w:highlight w:val="none"/>
        </w:rPr>
        <w:t>）管线及道路施工</w:t>
      </w:r>
    </w:p>
    <w:p w14:paraId="7350D894">
      <w:pPr>
        <w:ind w:firstLine="480"/>
        <w:rPr>
          <w:rFonts w:eastAsia="仿宋_GB2312"/>
          <w:color w:val="auto"/>
          <w:highlight w:val="none"/>
        </w:rPr>
      </w:pPr>
      <w:r>
        <w:rPr>
          <w:rFonts w:eastAsia="仿宋_GB2312"/>
          <w:color w:val="auto"/>
          <w:highlight w:val="none"/>
        </w:rPr>
        <w:t>项目区内给排水管道、电力、燃气、通讯管线沿道路敷设在道路下，管线工程与道路工程同时施工。土方开挖采用机械化施工，开挖的土石方用于场平的采取即挖即运即填的方式，不再临时堆放。在满足施工要求的前提下，土石方就近调运，对运距较远的土石方的运移采用自卸汽车运输的方式解决，汽车运输过程中应避免沿途撒漏，采用密闭汽车或加盖必要的防护蓬布进行遮挡，减少对运输路线周围的影响。</w:t>
      </w:r>
    </w:p>
    <w:p w14:paraId="6F152CF2">
      <w:pPr>
        <w:ind w:firstLine="480"/>
        <w:rPr>
          <w:rFonts w:eastAsia="仿宋_GB2312"/>
          <w:color w:val="auto"/>
          <w:highlight w:val="none"/>
        </w:rPr>
      </w:pPr>
      <w:r>
        <w:rPr>
          <w:rFonts w:hint="eastAsia"/>
          <w:color w:val="auto"/>
          <w:highlight w:val="none"/>
          <w:lang w:val="en-US" w:eastAsia="zh-CN"/>
        </w:rPr>
        <w:t>3</w:t>
      </w:r>
      <w:r>
        <w:rPr>
          <w:rFonts w:eastAsia="仿宋_GB2312"/>
          <w:color w:val="auto"/>
          <w:highlight w:val="none"/>
        </w:rPr>
        <w:t>）雨季施工方法</w:t>
      </w:r>
    </w:p>
    <w:p w14:paraId="7E99C533">
      <w:pPr>
        <w:ind w:firstLine="480"/>
        <w:rPr>
          <w:rFonts w:eastAsia="仿宋_GB2312"/>
          <w:color w:val="auto"/>
          <w:highlight w:val="none"/>
        </w:rPr>
      </w:pPr>
      <w:r>
        <w:rPr>
          <w:rFonts w:hint="eastAsia"/>
          <w:color w:val="auto"/>
          <w:highlight w:val="none"/>
          <w:lang w:val="en-US" w:eastAsia="zh-CN"/>
        </w:rPr>
        <w:t>a.</w:t>
      </w:r>
      <w:r>
        <w:rPr>
          <w:rFonts w:eastAsia="仿宋_GB2312"/>
          <w:color w:val="auto"/>
          <w:highlight w:val="none"/>
        </w:rPr>
        <w:t>雨季施工主要以预防为主，采取防雨措施，现场的排水系统要处于良好状态，保证排水畅通，使场内雨后不陷、不滑、不积水；</w:t>
      </w:r>
    </w:p>
    <w:p w14:paraId="2042C2D5">
      <w:pPr>
        <w:ind w:firstLine="480"/>
        <w:rPr>
          <w:rFonts w:eastAsia="仿宋_GB2312"/>
          <w:color w:val="auto"/>
          <w:highlight w:val="none"/>
        </w:rPr>
      </w:pPr>
      <w:r>
        <w:rPr>
          <w:rFonts w:hint="eastAsia"/>
          <w:color w:val="auto"/>
          <w:highlight w:val="none"/>
          <w:lang w:val="en-US" w:eastAsia="zh-CN"/>
        </w:rPr>
        <w:t>b.</w:t>
      </w:r>
      <w:r>
        <w:rPr>
          <w:rFonts w:eastAsia="仿宋_GB2312"/>
          <w:color w:val="auto"/>
          <w:highlight w:val="none"/>
        </w:rPr>
        <w:t>沟槽开挖后采用木桩挡板的方法，槽壁严格进行支护。确保管壁被雨水冲刷不塌方；管槽内的雨水可通过水泵引至道路两侧的临时排水内。</w:t>
      </w:r>
    </w:p>
    <w:p w14:paraId="3112BD05">
      <w:pPr>
        <w:ind w:firstLine="480"/>
        <w:rPr>
          <w:rFonts w:eastAsia="仿宋_GB2312"/>
          <w:color w:val="auto"/>
          <w:highlight w:val="none"/>
        </w:rPr>
      </w:pPr>
      <w:r>
        <w:rPr>
          <w:rFonts w:hint="eastAsia"/>
          <w:color w:val="auto"/>
          <w:highlight w:val="none"/>
          <w:lang w:val="en-US" w:eastAsia="zh-CN"/>
        </w:rPr>
        <w:t>c.</w:t>
      </w:r>
      <w:r>
        <w:rPr>
          <w:rFonts w:eastAsia="仿宋_GB2312"/>
          <w:color w:val="auto"/>
          <w:highlight w:val="none"/>
        </w:rPr>
        <w:t>加强截、排水手段，备用小型水泵及其它排水机具，及时排除管槽内积水，确保管槽不受水浸害；</w:t>
      </w:r>
    </w:p>
    <w:p w14:paraId="1FF57A01">
      <w:pPr>
        <w:ind w:firstLine="480"/>
        <w:rPr>
          <w:rFonts w:eastAsia="仿宋_GB2312"/>
          <w:color w:val="auto"/>
          <w:highlight w:val="none"/>
        </w:rPr>
      </w:pPr>
      <w:r>
        <w:rPr>
          <w:rFonts w:hint="eastAsia"/>
          <w:color w:val="auto"/>
          <w:highlight w:val="none"/>
          <w:lang w:val="en-US" w:eastAsia="zh-CN"/>
        </w:rPr>
        <w:t>d.</w:t>
      </w:r>
      <w:r>
        <w:rPr>
          <w:rFonts w:eastAsia="仿宋_GB2312"/>
          <w:color w:val="auto"/>
          <w:highlight w:val="none"/>
        </w:rPr>
        <w:t>普通门架或外脚手架应装避雷装置，接地电阻应不大于10欧，脚手架、井架下部搭设时高出自然地坪100mm，以防雨水浸泡造成悬空或下陷；</w:t>
      </w:r>
    </w:p>
    <w:p w14:paraId="25372891">
      <w:pPr>
        <w:ind w:firstLine="480"/>
        <w:rPr>
          <w:rFonts w:eastAsia="仿宋_GB2312"/>
          <w:color w:val="auto"/>
          <w:highlight w:val="none"/>
        </w:rPr>
      </w:pPr>
      <w:r>
        <w:rPr>
          <w:rFonts w:hint="eastAsia"/>
          <w:color w:val="auto"/>
          <w:highlight w:val="none"/>
          <w:lang w:val="en-US" w:eastAsia="zh-CN"/>
        </w:rPr>
        <w:t>e.</w:t>
      </w:r>
      <w:r>
        <w:rPr>
          <w:rFonts w:eastAsia="仿宋_GB2312"/>
          <w:color w:val="auto"/>
          <w:highlight w:val="none"/>
        </w:rPr>
        <w:t>提前准备好覆盖膜、雨衣、雨鞋等防雨物资，一旦大雨来临，即可使用。</w:t>
      </w:r>
    </w:p>
    <w:p w14:paraId="50B6B72B">
      <w:pPr>
        <w:ind w:firstLine="480"/>
        <w:rPr>
          <w:rFonts w:eastAsia="仿宋_GB2312"/>
          <w:color w:val="auto"/>
          <w:highlight w:val="none"/>
        </w:rPr>
      </w:pPr>
      <w:r>
        <w:rPr>
          <w:rFonts w:hint="eastAsia"/>
          <w:color w:val="auto"/>
          <w:highlight w:val="none"/>
          <w:lang w:val="en-US" w:eastAsia="zh-CN"/>
        </w:rPr>
        <w:t>f.</w:t>
      </w:r>
      <w:r>
        <w:rPr>
          <w:rFonts w:eastAsia="仿宋_GB2312"/>
          <w:color w:val="auto"/>
          <w:highlight w:val="none"/>
        </w:rPr>
        <w:t>浇筑砼前，要了解近日天气预报，尽量避开大雨施工。才浇完的砼要有塑料薄膜覆盖，以免损伤。</w:t>
      </w:r>
    </w:p>
    <w:p w14:paraId="1372FE73">
      <w:pPr>
        <w:ind w:firstLine="480"/>
        <w:rPr>
          <w:rFonts w:eastAsia="仿宋_GB2312"/>
          <w:color w:val="auto"/>
          <w:highlight w:val="none"/>
        </w:rPr>
      </w:pPr>
      <w:r>
        <w:rPr>
          <w:rFonts w:hint="eastAsia"/>
          <w:color w:val="auto"/>
          <w:highlight w:val="none"/>
          <w:lang w:val="en-US" w:eastAsia="zh-CN"/>
        </w:rPr>
        <w:t>4</w:t>
      </w:r>
      <w:r>
        <w:rPr>
          <w:rFonts w:eastAsia="仿宋_GB2312"/>
          <w:color w:val="auto"/>
          <w:highlight w:val="none"/>
        </w:rPr>
        <w:t>）材料、取料方式及堆存方式</w:t>
      </w:r>
    </w:p>
    <w:p w14:paraId="5986F468">
      <w:pPr>
        <w:ind w:firstLine="480"/>
        <w:rPr>
          <w:rFonts w:eastAsia="仿宋_GB2312"/>
          <w:color w:val="auto"/>
          <w:highlight w:val="none"/>
        </w:rPr>
      </w:pPr>
      <w:r>
        <w:rPr>
          <w:rFonts w:eastAsia="仿宋_GB2312"/>
          <w:color w:val="auto"/>
          <w:highlight w:val="none"/>
        </w:rPr>
        <w:t>工程中所用的建设材料主要包括：土料、石料、砂料、钢材、木材、水泥、石灰等。其中砂砾土料来源于商品料场，均现用现取，不堆存。</w:t>
      </w:r>
    </w:p>
    <w:p w14:paraId="372FE305">
      <w:pPr>
        <w:ind w:firstLine="480"/>
        <w:rPr>
          <w:rFonts w:eastAsia="仿宋_GB2312"/>
          <w:color w:val="auto"/>
          <w:highlight w:val="none"/>
        </w:rPr>
      </w:pPr>
      <w:r>
        <w:rPr>
          <w:rFonts w:eastAsia="仿宋_GB2312"/>
          <w:color w:val="auto"/>
          <w:highlight w:val="none"/>
        </w:rPr>
        <w:t>钢材、木材、水泥、石灰等其它筑路材料外购，外购材料中水泥、钢材等材料用量大，在采集、加工、贮藏、运输过程中扰动破坏地表，易形成新的水土流失。钢材、木材、水泥等材料堆存方式为仓储。</w:t>
      </w:r>
    </w:p>
    <w:p w14:paraId="4DEA136B">
      <w:pPr>
        <w:ind w:firstLine="480"/>
        <w:rPr>
          <w:rFonts w:hint="eastAsia" w:eastAsia="仿宋_GB2312"/>
          <w:color w:val="auto"/>
          <w:highlight w:val="none"/>
          <w:lang w:eastAsia="zh-CN"/>
        </w:rPr>
      </w:pPr>
      <w:r>
        <w:rPr>
          <w:rFonts w:hint="eastAsia"/>
          <w:color w:val="auto"/>
          <w:highlight w:val="none"/>
          <w:lang w:val="en-US" w:eastAsia="zh-CN"/>
        </w:rPr>
        <w:t>5</w:t>
      </w:r>
      <w:r>
        <w:rPr>
          <w:rFonts w:eastAsia="仿宋_GB2312"/>
          <w:color w:val="auto"/>
          <w:highlight w:val="none"/>
        </w:rPr>
        <w:t>）生产运行期不再进行地表扰动，无弃方</w:t>
      </w:r>
      <w:r>
        <w:rPr>
          <w:rFonts w:hint="eastAsia"/>
          <w:color w:val="auto"/>
          <w:highlight w:val="none"/>
          <w:lang w:eastAsia="zh-CN"/>
        </w:rPr>
        <w:t>。</w:t>
      </w:r>
    </w:p>
    <w:p w14:paraId="60F04061">
      <w:pPr>
        <w:pStyle w:val="3"/>
        <w:rPr>
          <w:color w:val="auto"/>
        </w:rPr>
      </w:pPr>
      <w:bookmarkStart w:id="71" w:name="_Toc18295"/>
      <w:r>
        <w:rPr>
          <w:rFonts w:hint="eastAsia"/>
          <w:color w:val="auto"/>
        </w:rPr>
        <w:t>2.3工程占地</w:t>
      </w:r>
      <w:bookmarkEnd w:id="71"/>
    </w:p>
    <w:p w14:paraId="456B408B">
      <w:pPr>
        <w:rPr>
          <w:rFonts w:hint="eastAsia"/>
          <w:color w:val="auto"/>
          <w:lang w:val="en-US" w:eastAsia="zh-CN"/>
        </w:rPr>
      </w:pPr>
      <w:r>
        <w:rPr>
          <w:rFonts w:hint="eastAsia"/>
          <w:color w:val="auto"/>
          <w:lang w:val="en-US" w:eastAsia="zh-CN"/>
        </w:rPr>
        <w:t>本项目总用地面积为3.66hm</w:t>
      </w:r>
      <w:r>
        <w:rPr>
          <w:rFonts w:hint="eastAsia"/>
          <w:color w:val="auto"/>
          <w:vertAlign w:val="superscript"/>
          <w:lang w:val="en-US" w:eastAsia="zh-CN"/>
        </w:rPr>
        <w:t>2</w:t>
      </w:r>
      <w:r>
        <w:rPr>
          <w:rFonts w:hint="eastAsia"/>
          <w:color w:val="auto"/>
          <w:lang w:val="en-US" w:eastAsia="zh-CN"/>
        </w:rPr>
        <w:t>，其均为永久占地。其中建构筑物占地1.55hm</w:t>
      </w:r>
      <w:r>
        <w:rPr>
          <w:rFonts w:hint="eastAsia"/>
          <w:color w:val="auto"/>
          <w:vertAlign w:val="superscript"/>
          <w:lang w:val="en-US" w:eastAsia="zh-CN"/>
        </w:rPr>
        <w:t>2</w:t>
      </w:r>
      <w:r>
        <w:rPr>
          <w:rFonts w:hint="eastAsia"/>
          <w:color w:val="auto"/>
          <w:lang w:val="en-US" w:eastAsia="zh-CN"/>
        </w:rPr>
        <w:t>，道路硬化占地2.11hm</w:t>
      </w:r>
      <w:r>
        <w:rPr>
          <w:rFonts w:hint="eastAsia"/>
          <w:color w:val="auto"/>
          <w:vertAlign w:val="superscript"/>
          <w:lang w:val="en-US" w:eastAsia="zh-CN"/>
        </w:rPr>
        <w:t>2</w:t>
      </w:r>
      <w:r>
        <w:rPr>
          <w:rFonts w:hint="eastAsia"/>
          <w:color w:val="auto"/>
          <w:lang w:val="en-US" w:eastAsia="zh-CN"/>
        </w:rPr>
        <w:t>。</w:t>
      </w:r>
    </w:p>
    <w:p w14:paraId="0438F6D6">
      <w:pPr>
        <w:rPr>
          <w:rFonts w:hint="default"/>
          <w:color w:val="auto"/>
          <w:lang w:val="en-US" w:eastAsia="zh-CN"/>
        </w:rPr>
      </w:pPr>
      <w:r>
        <w:rPr>
          <w:rFonts w:hint="eastAsia"/>
          <w:color w:val="auto"/>
          <w:lang w:val="en-US" w:eastAsia="zh-CN"/>
        </w:rPr>
        <w:t>项目用地范围内原始占地类型为耕地，已由政府统一进行场平，并将占地性质规划为工矿及仓储用地。</w:t>
      </w:r>
    </w:p>
    <w:p w14:paraId="4F2E3E5B">
      <w:pPr>
        <w:rPr>
          <w:color w:val="auto"/>
        </w:rPr>
      </w:pPr>
      <w:r>
        <w:rPr>
          <w:rFonts w:hint="eastAsia"/>
          <w:color w:val="auto"/>
          <w:lang w:val="en-US" w:eastAsia="zh-CN"/>
        </w:rPr>
        <w:t>本项目</w:t>
      </w:r>
      <w:r>
        <w:rPr>
          <w:rFonts w:hint="eastAsia"/>
          <w:color w:val="auto"/>
        </w:rPr>
        <w:t>工程占地详情见表2</w:t>
      </w:r>
      <w:r>
        <w:rPr>
          <w:rFonts w:hint="eastAsia"/>
          <w:color w:val="auto"/>
          <w:lang w:val="en-US" w:eastAsia="zh-CN"/>
        </w:rPr>
        <w:t>.3-1</w:t>
      </w:r>
      <w:r>
        <w:rPr>
          <w:rFonts w:hint="eastAsia"/>
          <w:color w:val="auto"/>
        </w:rPr>
        <w:t>。</w:t>
      </w:r>
    </w:p>
    <w:p w14:paraId="6E2B8E8D">
      <w:pPr>
        <w:pStyle w:val="35"/>
        <w:bidi w:val="0"/>
        <w:rPr>
          <w:rFonts w:hint="eastAsia"/>
          <w:color w:val="auto"/>
        </w:rPr>
      </w:pPr>
      <w:r>
        <w:rPr>
          <w:rFonts w:hint="eastAsia"/>
          <w:color w:val="auto"/>
        </w:rPr>
        <w:t>表2</w:t>
      </w:r>
      <w:r>
        <w:rPr>
          <w:rFonts w:hint="eastAsia"/>
          <w:color w:val="auto"/>
          <w:lang w:val="en-US" w:eastAsia="zh-CN"/>
        </w:rPr>
        <w:t>.3-1</w:t>
      </w:r>
      <w:r>
        <w:rPr>
          <w:rFonts w:hint="eastAsia"/>
          <w:color w:val="auto"/>
        </w:rPr>
        <w:t>工程占地面积统计表</w:t>
      </w:r>
      <w:r>
        <w:rPr>
          <w:rFonts w:hint="eastAsia"/>
          <w:color w:val="auto"/>
          <w:lang w:val="en-US" w:eastAsia="zh-CN"/>
        </w:rPr>
        <w:t xml:space="preserve">  </w:t>
      </w:r>
      <w:r>
        <w:rPr>
          <w:rFonts w:hint="eastAsia"/>
          <w:color w:val="auto"/>
        </w:rPr>
        <w:t>（单位：</w:t>
      </w:r>
      <w:r>
        <w:rPr>
          <w:color w:val="auto"/>
        </w:rPr>
        <w:t>hm</w:t>
      </w:r>
      <w:r>
        <w:rPr>
          <w:color w:val="auto"/>
          <w:vertAlign w:val="superscript"/>
        </w:rPr>
        <w:t>2</w:t>
      </w:r>
      <w:r>
        <w:rPr>
          <w:rFonts w:hint="eastAsia"/>
          <w:color w:val="auto"/>
        </w:rPr>
        <w:t>）</w:t>
      </w:r>
    </w:p>
    <w:tbl>
      <w:tblPr>
        <w:tblStyle w:val="25"/>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590"/>
        <w:gridCol w:w="1659"/>
        <w:gridCol w:w="3416"/>
        <w:gridCol w:w="1277"/>
      </w:tblGrid>
      <w:tr w14:paraId="24B3E1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447"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E60768">
            <w:pPr>
              <w:pStyle w:val="34"/>
              <w:bidi w:val="0"/>
              <w:rPr>
                <w:rFonts w:hint="eastAsia"/>
                <w:color w:val="auto"/>
              </w:rPr>
            </w:pPr>
            <w:r>
              <w:rPr>
                <w:rFonts w:hint="eastAsia"/>
                <w:color w:val="auto"/>
                <w:lang w:val="en-US" w:eastAsia="zh-CN"/>
              </w:rPr>
              <w:t>项目组成</w:t>
            </w:r>
          </w:p>
        </w:tc>
        <w:tc>
          <w:tcPr>
            <w:tcW w:w="2837"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57857F">
            <w:pPr>
              <w:pStyle w:val="34"/>
              <w:bidi w:val="0"/>
              <w:rPr>
                <w:rFonts w:hint="eastAsia"/>
                <w:color w:val="auto"/>
              </w:rPr>
            </w:pPr>
            <w:r>
              <w:rPr>
                <w:rFonts w:hint="eastAsia"/>
                <w:color w:val="auto"/>
                <w:lang w:val="en-US" w:eastAsia="zh-CN"/>
              </w:rPr>
              <w:t>占地类型</w:t>
            </w:r>
          </w:p>
        </w:tc>
        <w:tc>
          <w:tcPr>
            <w:tcW w:w="714"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1B653E">
            <w:pPr>
              <w:pStyle w:val="34"/>
              <w:bidi w:val="0"/>
              <w:rPr>
                <w:rFonts w:hint="eastAsia"/>
                <w:color w:val="auto"/>
              </w:rPr>
            </w:pPr>
            <w:r>
              <w:rPr>
                <w:rFonts w:hint="eastAsia"/>
                <w:color w:val="auto"/>
                <w:lang w:val="en-US" w:eastAsia="zh-CN"/>
              </w:rPr>
              <w:t>占地性质</w:t>
            </w:r>
          </w:p>
        </w:tc>
      </w:tr>
      <w:tr w14:paraId="38B8C3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447"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C1DFF">
            <w:pPr>
              <w:pStyle w:val="34"/>
              <w:bidi w:val="0"/>
              <w:rPr>
                <w:rFonts w:hint="eastAsia"/>
                <w:color w:val="auto"/>
              </w:rPr>
            </w:pPr>
          </w:p>
        </w:tc>
        <w:tc>
          <w:tcPr>
            <w:tcW w:w="92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D3357">
            <w:pPr>
              <w:pStyle w:val="34"/>
              <w:bidi w:val="0"/>
              <w:rPr>
                <w:rFonts w:hint="eastAsia"/>
                <w:color w:val="auto"/>
              </w:rPr>
            </w:pPr>
            <w:r>
              <w:rPr>
                <w:rFonts w:hint="eastAsia"/>
                <w:color w:val="auto"/>
                <w:lang w:val="en-US" w:eastAsia="zh-CN"/>
              </w:rPr>
              <w:t>耕地</w:t>
            </w:r>
          </w:p>
        </w:tc>
        <w:tc>
          <w:tcPr>
            <w:tcW w:w="19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F92781">
            <w:pPr>
              <w:pStyle w:val="34"/>
              <w:bidi w:val="0"/>
              <w:rPr>
                <w:rFonts w:hint="eastAsia"/>
                <w:color w:val="auto"/>
              </w:rPr>
            </w:pPr>
            <w:r>
              <w:rPr>
                <w:rFonts w:hint="eastAsia"/>
                <w:color w:val="auto"/>
                <w:lang w:val="en-US" w:eastAsia="zh-CN"/>
              </w:rPr>
              <w:t>小计</w:t>
            </w:r>
          </w:p>
        </w:tc>
        <w:tc>
          <w:tcPr>
            <w:tcW w:w="714"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79324">
            <w:pPr>
              <w:pStyle w:val="34"/>
              <w:bidi w:val="0"/>
              <w:rPr>
                <w:rFonts w:hint="eastAsia"/>
                <w:color w:val="auto"/>
              </w:rPr>
            </w:pPr>
          </w:p>
        </w:tc>
      </w:tr>
      <w:tr w14:paraId="2E6996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25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2C49A4">
            <w:pPr>
              <w:pStyle w:val="34"/>
              <w:bidi w:val="0"/>
              <w:rPr>
                <w:color w:val="auto"/>
              </w:rPr>
            </w:pPr>
            <w:r>
              <w:rPr>
                <w:rFonts w:hint="eastAsia"/>
                <w:color w:val="auto"/>
                <w:lang w:val="en-US" w:eastAsia="zh-CN"/>
              </w:rPr>
              <w:t>建构筑物区</w:t>
            </w:r>
          </w:p>
        </w:tc>
        <w:tc>
          <w:tcPr>
            <w:tcW w:w="16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B9B3D7">
            <w:pPr>
              <w:pStyle w:val="34"/>
              <w:bidi w:val="0"/>
              <w:rPr>
                <w:rFonts w:hint="default"/>
                <w:color w:val="auto"/>
              </w:rPr>
            </w:pPr>
            <w:r>
              <w:rPr>
                <w:rFonts w:hint="default"/>
                <w:color w:val="auto"/>
                <w:lang w:val="en-US" w:eastAsia="zh-CN"/>
              </w:rPr>
              <w:t>1.55</w:t>
            </w:r>
          </w:p>
        </w:tc>
        <w:tc>
          <w:tcPr>
            <w:tcW w:w="34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FCCBF">
            <w:pPr>
              <w:pStyle w:val="34"/>
              <w:bidi w:val="0"/>
              <w:rPr>
                <w:rFonts w:hint="default"/>
                <w:color w:val="auto"/>
              </w:rPr>
            </w:pPr>
            <w:r>
              <w:rPr>
                <w:rFonts w:hint="default"/>
                <w:color w:val="auto"/>
                <w:lang w:val="en-US" w:eastAsia="zh-CN"/>
              </w:rPr>
              <w:t>1.55</w:t>
            </w:r>
          </w:p>
        </w:tc>
        <w:tc>
          <w:tcPr>
            <w:tcW w:w="7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763627">
            <w:pPr>
              <w:pStyle w:val="34"/>
              <w:bidi w:val="0"/>
              <w:rPr>
                <w:rFonts w:hint="default"/>
                <w:color w:val="auto"/>
              </w:rPr>
            </w:pPr>
            <w:r>
              <w:rPr>
                <w:rFonts w:hint="default"/>
                <w:color w:val="auto"/>
                <w:lang w:val="en-US" w:eastAsia="zh-CN"/>
              </w:rPr>
              <w:t>永久占地</w:t>
            </w:r>
          </w:p>
        </w:tc>
      </w:tr>
      <w:tr w14:paraId="3DD806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59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B7712">
            <w:pPr>
              <w:pStyle w:val="34"/>
              <w:bidi w:val="0"/>
              <w:rPr>
                <w:rFonts w:hint="eastAsia"/>
                <w:color w:val="auto"/>
              </w:rPr>
            </w:pPr>
            <w:r>
              <w:rPr>
                <w:rFonts w:hint="eastAsia"/>
                <w:color w:val="auto"/>
                <w:lang w:val="en-US" w:eastAsia="zh-CN"/>
              </w:rPr>
              <w:t>硬化道路区</w:t>
            </w:r>
          </w:p>
        </w:tc>
        <w:tc>
          <w:tcPr>
            <w:tcW w:w="16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3C68F">
            <w:pPr>
              <w:pStyle w:val="34"/>
              <w:bidi w:val="0"/>
              <w:rPr>
                <w:rFonts w:hint="default"/>
                <w:color w:val="auto"/>
              </w:rPr>
            </w:pPr>
            <w:r>
              <w:rPr>
                <w:rFonts w:hint="default"/>
                <w:color w:val="auto"/>
                <w:lang w:val="en-US" w:eastAsia="zh-CN"/>
              </w:rPr>
              <w:t>2.11</w:t>
            </w:r>
          </w:p>
        </w:tc>
        <w:tc>
          <w:tcPr>
            <w:tcW w:w="34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CA3CB">
            <w:pPr>
              <w:pStyle w:val="34"/>
              <w:bidi w:val="0"/>
              <w:rPr>
                <w:rFonts w:hint="default"/>
                <w:color w:val="auto"/>
                <w:lang w:val="en-US"/>
              </w:rPr>
            </w:pPr>
            <w:r>
              <w:rPr>
                <w:rFonts w:hint="default"/>
                <w:color w:val="auto"/>
                <w:lang w:val="en-US" w:eastAsia="zh-CN"/>
              </w:rPr>
              <w:t>2.11</w:t>
            </w:r>
          </w:p>
        </w:tc>
        <w:tc>
          <w:tcPr>
            <w:tcW w:w="7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204099">
            <w:pPr>
              <w:pStyle w:val="34"/>
              <w:bidi w:val="0"/>
              <w:rPr>
                <w:rFonts w:hint="default"/>
                <w:color w:val="auto"/>
              </w:rPr>
            </w:pPr>
            <w:r>
              <w:rPr>
                <w:rFonts w:hint="default"/>
                <w:color w:val="auto"/>
                <w:lang w:val="en-US" w:eastAsia="zh-CN"/>
              </w:rPr>
              <w:t>永久占地</w:t>
            </w:r>
          </w:p>
        </w:tc>
      </w:tr>
      <w:tr w14:paraId="2DF3A4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59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416833">
            <w:pPr>
              <w:pStyle w:val="34"/>
              <w:bidi w:val="0"/>
              <w:rPr>
                <w:rFonts w:hint="eastAsia"/>
                <w:color w:val="auto"/>
              </w:rPr>
            </w:pPr>
            <w:r>
              <w:rPr>
                <w:rFonts w:hint="eastAsia"/>
                <w:color w:val="auto"/>
                <w:lang w:val="en-US" w:eastAsia="zh-CN"/>
              </w:rPr>
              <w:t>合计</w:t>
            </w:r>
          </w:p>
        </w:tc>
        <w:tc>
          <w:tcPr>
            <w:tcW w:w="16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BBDB2">
            <w:pPr>
              <w:pStyle w:val="34"/>
              <w:bidi w:val="0"/>
              <w:rPr>
                <w:rFonts w:hint="default"/>
                <w:color w:val="auto"/>
              </w:rPr>
            </w:pPr>
            <w:r>
              <w:rPr>
                <w:rFonts w:hint="default"/>
                <w:color w:val="auto"/>
                <w:lang w:val="en-US" w:eastAsia="zh-CN"/>
              </w:rPr>
              <w:t>3.66</w:t>
            </w:r>
          </w:p>
        </w:tc>
        <w:tc>
          <w:tcPr>
            <w:tcW w:w="34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90DD2A">
            <w:pPr>
              <w:pStyle w:val="34"/>
              <w:bidi w:val="0"/>
              <w:rPr>
                <w:rFonts w:hint="default"/>
                <w:color w:val="auto"/>
              </w:rPr>
            </w:pPr>
            <w:r>
              <w:rPr>
                <w:rFonts w:hint="default"/>
                <w:color w:val="auto"/>
                <w:lang w:val="en-US" w:eastAsia="zh-CN"/>
              </w:rPr>
              <w:t>3.66</w:t>
            </w:r>
          </w:p>
        </w:tc>
        <w:tc>
          <w:tcPr>
            <w:tcW w:w="71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AD5F1">
            <w:pPr>
              <w:pStyle w:val="34"/>
              <w:bidi w:val="0"/>
              <w:rPr>
                <w:rFonts w:hint="default"/>
                <w:color w:val="auto"/>
              </w:rPr>
            </w:pPr>
          </w:p>
        </w:tc>
      </w:tr>
    </w:tbl>
    <w:p w14:paraId="124237E4">
      <w:pPr>
        <w:pStyle w:val="3"/>
        <w:bidi w:val="0"/>
      </w:pPr>
      <w:bookmarkStart w:id="72" w:name="_Toc27294"/>
      <w:r>
        <w:rPr>
          <w:rFonts w:hint="eastAsia"/>
        </w:rPr>
        <w:t>2.4土石方平衡</w:t>
      </w:r>
      <w:bookmarkEnd w:id="72"/>
    </w:p>
    <w:p w14:paraId="67B20E87">
      <w:pPr>
        <w:pStyle w:val="5"/>
        <w:rPr>
          <w:rFonts w:hint="eastAsia"/>
          <w:color w:val="auto"/>
        </w:rPr>
      </w:pPr>
      <w:r>
        <w:rPr>
          <w:rFonts w:hint="eastAsia"/>
          <w:color w:val="auto"/>
        </w:rPr>
        <w:t>2.4.1表土平衡分析</w:t>
      </w:r>
    </w:p>
    <w:p w14:paraId="5329576C">
      <w:pPr>
        <w:bidi w:val="0"/>
        <w:rPr>
          <w:rFonts w:hint="eastAsia"/>
          <w:color w:val="auto"/>
          <w:lang w:val="en-US" w:eastAsia="zh-CN"/>
        </w:rPr>
      </w:pPr>
      <w:r>
        <w:rPr>
          <w:rFonts w:hint="eastAsia"/>
          <w:color w:val="auto"/>
          <w:lang w:val="en-US" w:eastAsia="zh-CN"/>
        </w:rPr>
        <w:t>根据地勘报告和现场调查，项目现场原始占地为耕地，已由政府进行统一场平施工，项目内部现无可剥离表土资源，不具备表土剥离条件。</w:t>
      </w:r>
    </w:p>
    <w:p w14:paraId="69D69BA5">
      <w:pPr>
        <w:pStyle w:val="5"/>
        <w:bidi w:val="0"/>
        <w:rPr>
          <w:color w:val="auto"/>
        </w:rPr>
      </w:pPr>
      <w:r>
        <w:rPr>
          <w:rFonts w:hint="eastAsia"/>
          <w:color w:val="auto"/>
        </w:rPr>
        <w:t>2.4.2土石方平衡分析</w:t>
      </w:r>
    </w:p>
    <w:p w14:paraId="5883F936">
      <w:pPr>
        <w:bidi w:val="0"/>
        <w:rPr>
          <w:rFonts w:eastAsia="仿宋_GB2312"/>
          <w:color w:val="auto"/>
          <w:highlight w:val="none"/>
        </w:rPr>
      </w:pPr>
      <w:r>
        <w:rPr>
          <w:rFonts w:hint="eastAsia"/>
          <w:color w:val="auto"/>
          <w:highlight w:val="none"/>
          <w:lang w:val="en-US" w:eastAsia="zh-CN"/>
        </w:rPr>
        <w:t>拟建项目位于雅安市雨城区雨城区草坝镇永兴大道中段699号，地貌单元为浅丘地貌，场地附近无全新活动断裂带通过，场地的稳定性较好。高程为562.47</w:t>
      </w:r>
      <w:r>
        <w:rPr>
          <w:rFonts w:hint="default"/>
          <w:color w:val="auto"/>
          <w:highlight w:val="none"/>
          <w:lang w:eastAsia="zh-CN"/>
        </w:rPr>
        <w:t>～</w:t>
      </w:r>
      <w:r>
        <w:rPr>
          <w:rFonts w:hint="eastAsia"/>
          <w:color w:val="auto"/>
          <w:highlight w:val="none"/>
          <w:lang w:val="en-US" w:eastAsia="zh-CN"/>
        </w:rPr>
        <w:t>563.20</w:t>
      </w:r>
      <w:r>
        <w:rPr>
          <w:rFonts w:hint="default"/>
          <w:color w:val="auto"/>
          <w:highlight w:val="none"/>
          <w:lang w:val="en-US" w:eastAsia="zh-CN"/>
        </w:rPr>
        <w:t>m，高差约</w:t>
      </w:r>
      <w:r>
        <w:rPr>
          <w:rFonts w:hint="eastAsia"/>
          <w:color w:val="auto"/>
          <w:highlight w:val="none"/>
          <w:lang w:val="en-US" w:eastAsia="zh-CN"/>
        </w:rPr>
        <w:t>0.73</w:t>
      </w:r>
      <w:r>
        <w:rPr>
          <w:rFonts w:hint="default"/>
          <w:color w:val="auto"/>
          <w:highlight w:val="none"/>
          <w:lang w:val="en-US" w:eastAsia="zh-CN"/>
        </w:rPr>
        <w:t>m。</w:t>
      </w:r>
      <w:r>
        <w:rPr>
          <w:rFonts w:hint="eastAsia"/>
          <w:color w:val="auto"/>
          <w:highlight w:val="none"/>
          <w:lang w:val="en-US" w:eastAsia="zh-CN"/>
        </w:rPr>
        <w:t>大体分布均匀，项目区主要在场平土地上进行建筑施工</w:t>
      </w:r>
      <w:r>
        <w:rPr>
          <w:rFonts w:hint="eastAsia"/>
          <w:color w:val="auto"/>
          <w:highlight w:val="none"/>
        </w:rPr>
        <w:t>，</w:t>
      </w:r>
      <w:r>
        <w:rPr>
          <w:color w:val="auto"/>
          <w:highlight w:val="none"/>
        </w:rPr>
        <w:t>土石方平衡分析</w:t>
      </w:r>
      <w:r>
        <w:rPr>
          <w:rFonts w:hint="eastAsia"/>
          <w:color w:val="auto"/>
          <w:highlight w:val="none"/>
        </w:rPr>
        <w:t>如下：</w:t>
      </w:r>
    </w:p>
    <w:p w14:paraId="42E67FED">
      <w:pPr>
        <w:ind w:firstLine="480"/>
        <w:rPr>
          <w:rFonts w:hint="default" w:eastAsia="仿宋_GB2312"/>
          <w:color w:val="auto"/>
          <w:highlight w:val="none"/>
          <w:lang w:val="en-US" w:eastAsia="zh-CN"/>
        </w:rPr>
      </w:pPr>
      <w:r>
        <w:rPr>
          <w:rFonts w:hint="eastAsia" w:eastAsia="仿宋_GB2312"/>
          <w:color w:val="auto"/>
          <w:highlight w:val="none"/>
          <w:lang w:val="en-US" w:eastAsia="zh-CN"/>
        </w:rPr>
        <w:t>1）</w:t>
      </w:r>
      <w:r>
        <w:rPr>
          <w:rFonts w:hint="eastAsia"/>
          <w:color w:val="auto"/>
          <w:highlight w:val="none"/>
          <w:lang w:val="en-US" w:eastAsia="zh-CN"/>
        </w:rPr>
        <w:t>建构筑物区</w:t>
      </w:r>
    </w:p>
    <w:p w14:paraId="60633E74">
      <w:pPr>
        <w:ind w:firstLine="480"/>
        <w:rPr>
          <w:rFonts w:hint="default" w:eastAsia="仿宋_GB2312"/>
          <w:color w:val="auto"/>
          <w:highlight w:val="none"/>
          <w:vertAlign w:val="baseline"/>
          <w:lang w:val="en-US" w:eastAsia="zh-CN"/>
        </w:rPr>
      </w:pPr>
      <w:r>
        <w:rPr>
          <w:rFonts w:hint="eastAsia" w:eastAsia="仿宋_GB2312"/>
          <w:color w:val="auto"/>
          <w:highlight w:val="none"/>
          <w:lang w:eastAsia="zh-CN"/>
        </w:rPr>
        <w:t>本项目</w:t>
      </w:r>
      <w:r>
        <w:rPr>
          <w:rFonts w:hint="eastAsia"/>
          <w:color w:val="auto"/>
          <w:highlight w:val="none"/>
          <w:lang w:val="en-US" w:eastAsia="zh-CN"/>
        </w:rPr>
        <w:t>建构筑物区</w:t>
      </w:r>
      <w:r>
        <w:rPr>
          <w:rFonts w:hint="eastAsia" w:eastAsia="仿宋_GB2312"/>
          <w:color w:val="auto"/>
          <w:highlight w:val="none"/>
          <w:lang w:eastAsia="zh-CN"/>
        </w:rPr>
        <w:t>土石方施工时，主要来源于</w:t>
      </w:r>
      <w:r>
        <w:rPr>
          <w:rFonts w:hint="eastAsia"/>
          <w:color w:val="auto"/>
          <w:highlight w:val="none"/>
          <w:lang w:val="en-US" w:eastAsia="zh-CN"/>
        </w:rPr>
        <w:t>基础</w:t>
      </w:r>
      <w:r>
        <w:rPr>
          <w:rFonts w:hint="eastAsia" w:eastAsia="仿宋_GB2312"/>
          <w:color w:val="auto"/>
          <w:highlight w:val="none"/>
          <w:lang w:eastAsia="zh-CN"/>
        </w:rPr>
        <w:t>开挖、回填，</w:t>
      </w:r>
      <w:r>
        <w:rPr>
          <w:rFonts w:hint="eastAsia"/>
          <w:color w:val="auto"/>
          <w:highlight w:val="none"/>
          <w:lang w:val="en-US" w:eastAsia="zh-CN"/>
        </w:rPr>
        <w:t>经统计，建构筑物区土石方开挖约0.75万m</w:t>
      </w:r>
      <w:r>
        <w:rPr>
          <w:rFonts w:hint="eastAsia"/>
          <w:color w:val="auto"/>
          <w:highlight w:val="none"/>
          <w:vertAlign w:val="superscript"/>
          <w:lang w:val="en-US" w:eastAsia="zh-CN"/>
        </w:rPr>
        <w:t>3</w:t>
      </w:r>
      <w:r>
        <w:rPr>
          <w:rFonts w:hint="eastAsia"/>
          <w:color w:val="auto"/>
          <w:highlight w:val="none"/>
          <w:vertAlign w:val="baseline"/>
          <w:lang w:val="en-US" w:eastAsia="zh-CN"/>
        </w:rPr>
        <w:t>，土石方回填0.35万m</w:t>
      </w:r>
      <w:r>
        <w:rPr>
          <w:rFonts w:hint="eastAsia"/>
          <w:color w:val="auto"/>
          <w:highlight w:val="none"/>
          <w:vertAlign w:val="superscript"/>
          <w:lang w:val="en-US" w:eastAsia="zh-CN"/>
        </w:rPr>
        <w:t>3</w:t>
      </w:r>
      <w:r>
        <w:rPr>
          <w:rFonts w:hint="eastAsia"/>
          <w:color w:val="auto"/>
          <w:highlight w:val="none"/>
          <w:vertAlign w:val="baseline"/>
          <w:lang w:val="en-US" w:eastAsia="zh-CN"/>
        </w:rPr>
        <w:t>，调出0.40万m</w:t>
      </w:r>
      <w:r>
        <w:rPr>
          <w:rFonts w:hint="eastAsia"/>
          <w:color w:val="auto"/>
          <w:highlight w:val="none"/>
          <w:vertAlign w:val="superscript"/>
          <w:lang w:val="en-US" w:eastAsia="zh-CN"/>
        </w:rPr>
        <w:t>3</w:t>
      </w:r>
      <w:r>
        <w:rPr>
          <w:rFonts w:hint="eastAsia"/>
          <w:color w:val="auto"/>
          <w:highlight w:val="none"/>
          <w:vertAlign w:val="baseline"/>
          <w:lang w:val="en-US" w:eastAsia="zh-CN"/>
        </w:rPr>
        <w:t>一般土石方至道路硬化区。</w:t>
      </w:r>
    </w:p>
    <w:p w14:paraId="20622C21">
      <w:pPr>
        <w:ind w:firstLine="480"/>
        <w:rPr>
          <w:rFonts w:hint="default" w:eastAsia="仿宋_GB2312"/>
          <w:color w:val="auto"/>
          <w:highlight w:val="none"/>
          <w:lang w:val="en-US" w:eastAsia="zh-CN"/>
        </w:rPr>
      </w:pPr>
      <w:r>
        <w:rPr>
          <w:rFonts w:hint="eastAsia" w:eastAsia="仿宋_GB2312"/>
          <w:color w:val="auto"/>
          <w:highlight w:val="none"/>
          <w:lang w:eastAsia="zh-CN"/>
        </w:rPr>
        <w:t>2）</w:t>
      </w:r>
      <w:r>
        <w:rPr>
          <w:rFonts w:hint="eastAsia"/>
          <w:color w:val="auto"/>
          <w:highlight w:val="none"/>
          <w:lang w:val="en-US" w:eastAsia="zh-CN"/>
        </w:rPr>
        <w:t>道路硬化区</w:t>
      </w:r>
    </w:p>
    <w:p w14:paraId="32E59993">
      <w:pPr>
        <w:ind w:firstLine="480"/>
        <w:rPr>
          <w:rFonts w:hint="default" w:eastAsia="仿宋_GB2312"/>
          <w:color w:val="auto"/>
          <w:highlight w:val="none"/>
          <w:vertAlign w:val="baseline"/>
          <w:lang w:val="en-US" w:eastAsia="zh-CN"/>
        </w:rPr>
      </w:pPr>
      <w:r>
        <w:rPr>
          <w:rFonts w:hint="eastAsia"/>
          <w:color w:val="auto"/>
          <w:highlight w:val="none"/>
          <w:lang w:val="en-US" w:eastAsia="zh-CN"/>
        </w:rPr>
        <w:t>本项目道路硬化土石方施工时，主要来源于</w:t>
      </w:r>
      <w:r>
        <w:rPr>
          <w:rFonts w:hint="eastAsia" w:eastAsia="仿宋_GB2312"/>
          <w:color w:val="auto"/>
          <w:highlight w:val="none"/>
          <w:lang w:eastAsia="zh-CN"/>
        </w:rPr>
        <w:t>局部基础和周边管线开挖，经统计，</w:t>
      </w:r>
      <w:r>
        <w:rPr>
          <w:rFonts w:hint="eastAsia"/>
          <w:color w:val="auto"/>
          <w:highlight w:val="none"/>
          <w:lang w:val="en-US" w:eastAsia="zh-CN"/>
        </w:rPr>
        <w:t>道路硬化</w:t>
      </w:r>
      <w:r>
        <w:rPr>
          <w:rFonts w:hint="eastAsia" w:eastAsia="仿宋_GB2312"/>
          <w:color w:val="auto"/>
          <w:highlight w:val="none"/>
          <w:lang w:eastAsia="zh-CN"/>
        </w:rPr>
        <w:t>土石方开挖约</w:t>
      </w:r>
      <w:r>
        <w:rPr>
          <w:rFonts w:hint="eastAsia"/>
          <w:color w:val="auto"/>
          <w:highlight w:val="none"/>
          <w:lang w:val="en-US" w:eastAsia="zh-CN"/>
        </w:rPr>
        <w:t>0.57</w:t>
      </w:r>
      <w:r>
        <w:rPr>
          <w:rFonts w:hint="eastAsia" w:eastAsia="仿宋_GB2312"/>
          <w:color w:val="auto"/>
          <w:highlight w:val="none"/>
          <w:lang w:eastAsia="zh-CN"/>
        </w:rPr>
        <w:t>万m</w:t>
      </w:r>
      <w:r>
        <w:rPr>
          <w:rFonts w:hint="eastAsia" w:eastAsia="仿宋_GB2312"/>
          <w:color w:val="auto"/>
          <w:highlight w:val="none"/>
          <w:vertAlign w:val="superscript"/>
          <w:lang w:eastAsia="zh-CN"/>
        </w:rPr>
        <w:t>3</w:t>
      </w:r>
      <w:r>
        <w:rPr>
          <w:rFonts w:hint="eastAsia"/>
          <w:color w:val="auto"/>
          <w:highlight w:val="none"/>
          <w:vertAlign w:val="baseline"/>
          <w:lang w:eastAsia="zh-CN"/>
        </w:rPr>
        <w:t>，</w:t>
      </w:r>
      <w:r>
        <w:rPr>
          <w:rFonts w:hint="eastAsia" w:eastAsia="仿宋_GB2312"/>
          <w:color w:val="auto"/>
          <w:highlight w:val="none"/>
          <w:lang w:eastAsia="zh-CN"/>
        </w:rPr>
        <w:t>回填约</w:t>
      </w:r>
      <w:r>
        <w:rPr>
          <w:rFonts w:hint="eastAsia"/>
          <w:color w:val="auto"/>
          <w:highlight w:val="none"/>
          <w:lang w:val="en-US" w:eastAsia="zh-CN"/>
        </w:rPr>
        <w:t>0.97</w:t>
      </w:r>
      <w:r>
        <w:rPr>
          <w:rFonts w:hint="eastAsia" w:eastAsia="仿宋_GB2312"/>
          <w:color w:val="auto"/>
          <w:highlight w:val="none"/>
          <w:lang w:eastAsia="zh-CN"/>
        </w:rPr>
        <w:t>万m</w:t>
      </w:r>
      <w:r>
        <w:rPr>
          <w:rFonts w:hint="eastAsia" w:eastAsia="仿宋_GB2312"/>
          <w:color w:val="auto"/>
          <w:highlight w:val="none"/>
          <w:vertAlign w:val="superscript"/>
          <w:lang w:eastAsia="zh-CN"/>
        </w:rPr>
        <w:t>3</w:t>
      </w:r>
      <w:r>
        <w:rPr>
          <w:rFonts w:hint="eastAsia"/>
          <w:color w:val="auto"/>
          <w:highlight w:val="none"/>
          <w:lang w:eastAsia="zh-CN"/>
        </w:rPr>
        <w:t>，</w:t>
      </w:r>
      <w:r>
        <w:rPr>
          <w:rFonts w:hint="eastAsia"/>
          <w:color w:val="auto"/>
          <w:highlight w:val="none"/>
          <w:lang w:val="en-US" w:eastAsia="zh-CN"/>
        </w:rPr>
        <w:t>由建构筑物区调入0.40万m</w:t>
      </w:r>
      <w:r>
        <w:rPr>
          <w:rFonts w:hint="eastAsia"/>
          <w:color w:val="auto"/>
          <w:highlight w:val="none"/>
          <w:vertAlign w:val="superscript"/>
          <w:lang w:val="en-US" w:eastAsia="zh-CN"/>
        </w:rPr>
        <w:t>3</w:t>
      </w:r>
      <w:r>
        <w:rPr>
          <w:rFonts w:hint="eastAsia"/>
          <w:color w:val="auto"/>
          <w:highlight w:val="none"/>
          <w:vertAlign w:val="baseline"/>
          <w:lang w:val="en-US" w:eastAsia="zh-CN"/>
        </w:rPr>
        <w:t>一般土石方用于回填。</w:t>
      </w:r>
    </w:p>
    <w:p w14:paraId="7CC98F88">
      <w:pPr>
        <w:ind w:firstLine="480"/>
        <w:rPr>
          <w:rFonts w:hint="eastAsia" w:eastAsia="仿宋_GB2312"/>
          <w:color w:val="auto"/>
          <w:highlight w:val="none"/>
          <w:lang w:eastAsia="zh-CN"/>
        </w:rPr>
      </w:pPr>
      <w:r>
        <w:rPr>
          <w:rFonts w:hint="eastAsia" w:eastAsia="仿宋_GB2312"/>
          <w:color w:val="auto"/>
          <w:highlight w:val="none"/>
          <w:lang w:eastAsia="zh-CN"/>
        </w:rPr>
        <w:t>（</w:t>
      </w:r>
      <w:r>
        <w:rPr>
          <w:rFonts w:hint="eastAsia" w:eastAsia="仿宋_GB2312"/>
          <w:color w:val="auto"/>
          <w:highlight w:val="none"/>
          <w:lang w:val="en-US" w:eastAsia="zh-CN"/>
        </w:rPr>
        <w:t>3）</w:t>
      </w:r>
      <w:r>
        <w:rPr>
          <w:rFonts w:hint="eastAsia" w:eastAsia="仿宋_GB2312"/>
          <w:color w:val="auto"/>
          <w:highlight w:val="none"/>
          <w:lang w:eastAsia="zh-CN"/>
        </w:rPr>
        <w:t>土石方平衡分析</w:t>
      </w:r>
    </w:p>
    <w:p w14:paraId="47AD0DE2">
      <w:pPr>
        <w:ind w:firstLine="480"/>
        <w:rPr>
          <w:rFonts w:eastAsia="仿宋_GB2312"/>
          <w:color w:val="auto"/>
          <w:highlight w:val="none"/>
        </w:rPr>
      </w:pPr>
      <w:r>
        <w:rPr>
          <w:rFonts w:hint="eastAsia" w:eastAsia="仿宋_GB2312"/>
          <w:color w:val="auto"/>
          <w:highlight w:val="none"/>
          <w:lang w:eastAsia="zh-CN"/>
        </w:rPr>
        <w:t>根据施工设计资料统计分析，</w:t>
      </w:r>
      <w:r>
        <w:rPr>
          <w:rFonts w:eastAsia="仿宋_GB2312"/>
          <w:color w:val="auto"/>
          <w:highlight w:val="none"/>
        </w:rPr>
        <w:t>本项目</w:t>
      </w:r>
      <w:r>
        <w:rPr>
          <w:rFonts w:hint="eastAsia"/>
          <w:color w:val="auto"/>
          <w:highlight w:val="none"/>
          <w:lang w:val="en-US" w:eastAsia="zh-CN"/>
        </w:rPr>
        <w:t>建设开挖土石方1.32</w:t>
      </w:r>
      <w:r>
        <w:rPr>
          <w:rFonts w:eastAsia="仿宋_GB2312"/>
          <w:color w:val="auto"/>
          <w:highlight w:val="none"/>
        </w:rPr>
        <w:t>万m</w:t>
      </w:r>
      <w:r>
        <w:rPr>
          <w:rFonts w:eastAsia="仿宋_GB2312"/>
          <w:color w:val="auto"/>
          <w:highlight w:val="none"/>
          <w:vertAlign w:val="superscript"/>
        </w:rPr>
        <w:t>3</w:t>
      </w:r>
      <w:r>
        <w:rPr>
          <w:rFonts w:eastAsia="仿宋_GB2312"/>
          <w:color w:val="auto"/>
          <w:highlight w:val="none"/>
        </w:rPr>
        <w:t>，填方总量</w:t>
      </w:r>
      <w:r>
        <w:rPr>
          <w:rFonts w:hint="eastAsia"/>
          <w:color w:val="auto"/>
          <w:highlight w:val="none"/>
          <w:lang w:val="en-US" w:eastAsia="zh-CN"/>
        </w:rPr>
        <w:t>1.32</w:t>
      </w:r>
      <w:r>
        <w:rPr>
          <w:rFonts w:eastAsia="仿宋_GB2312"/>
          <w:color w:val="auto"/>
          <w:highlight w:val="none"/>
        </w:rPr>
        <w:t>万m</w:t>
      </w:r>
      <w:r>
        <w:rPr>
          <w:rFonts w:eastAsia="仿宋_GB2312"/>
          <w:color w:val="auto"/>
          <w:highlight w:val="none"/>
          <w:vertAlign w:val="superscript"/>
        </w:rPr>
        <w:t>3</w:t>
      </w:r>
      <w:r>
        <w:rPr>
          <w:rFonts w:eastAsia="仿宋_GB2312"/>
          <w:color w:val="auto"/>
          <w:highlight w:val="none"/>
        </w:rPr>
        <w:t>，</w:t>
      </w:r>
      <w:r>
        <w:rPr>
          <w:rFonts w:hint="eastAsia"/>
          <w:color w:val="auto"/>
          <w:highlight w:val="none"/>
          <w:lang w:val="en-US" w:eastAsia="zh-CN"/>
        </w:rPr>
        <w:t>无借方，无弃方</w:t>
      </w:r>
      <w:r>
        <w:rPr>
          <w:rFonts w:eastAsia="仿宋_GB2312"/>
          <w:color w:val="auto"/>
          <w:highlight w:val="none"/>
        </w:rPr>
        <w:t>。</w:t>
      </w:r>
    </w:p>
    <w:p w14:paraId="1435C552">
      <w:pPr>
        <w:ind w:firstLine="482"/>
        <w:jc w:val="center"/>
        <w:rPr>
          <w:rFonts w:eastAsia="仿宋_GB2312"/>
          <w:b/>
          <w:color w:val="auto"/>
          <w:highlight w:val="none"/>
          <w:vertAlign w:val="superscript"/>
        </w:rPr>
      </w:pPr>
      <w:r>
        <w:rPr>
          <w:rFonts w:eastAsia="仿宋_GB2312"/>
          <w:b/>
          <w:color w:val="auto"/>
          <w:highlight w:val="none"/>
        </w:rPr>
        <w:t>表2.4-2  土石方平衡分析及流向表 单位：万m</w:t>
      </w:r>
      <w:r>
        <w:rPr>
          <w:rFonts w:eastAsia="仿宋_GB2312"/>
          <w:b/>
          <w:color w:val="auto"/>
          <w:highlight w:val="none"/>
          <w:vertAlign w:val="superscript"/>
        </w:rPr>
        <w:t>3</w:t>
      </w:r>
    </w:p>
    <w:tbl>
      <w:tblPr>
        <w:tblStyle w:val="25"/>
        <w:tblW w:w="4997"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296"/>
        <w:gridCol w:w="747"/>
        <w:gridCol w:w="755"/>
        <w:gridCol w:w="532"/>
        <w:gridCol w:w="645"/>
        <w:gridCol w:w="739"/>
        <w:gridCol w:w="537"/>
        <w:gridCol w:w="530"/>
        <w:gridCol w:w="576"/>
        <w:gridCol w:w="530"/>
        <w:gridCol w:w="576"/>
        <w:gridCol w:w="730"/>
        <w:gridCol w:w="748"/>
      </w:tblGrid>
      <w:tr w14:paraId="3AC580C5">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9" w:hRule="atLeast"/>
        </w:trPr>
        <w:tc>
          <w:tcPr>
            <w:tcW w:w="724" w:type="pct"/>
            <w:vMerge w:val="restart"/>
            <w:tcBorders>
              <w:tl2br w:val="nil"/>
              <w:tr2bl w:val="nil"/>
            </w:tcBorders>
            <w:noWrap w:val="0"/>
            <w:vAlign w:val="center"/>
          </w:tcPr>
          <w:p w14:paraId="7AB03588">
            <w:pPr>
              <w:pStyle w:val="34"/>
              <w:bidi w:val="0"/>
              <w:rPr>
                <w:rFonts w:hint="default"/>
                <w:color w:val="auto"/>
                <w:highlight w:val="none"/>
              </w:rPr>
            </w:pPr>
            <w:r>
              <w:rPr>
                <w:rFonts w:hint="default"/>
                <w:color w:val="auto"/>
                <w:highlight w:val="none"/>
                <w:lang w:val="en-US" w:eastAsia="zh-CN"/>
              </w:rPr>
              <w:t>项目组成</w:t>
            </w:r>
          </w:p>
        </w:tc>
        <w:tc>
          <w:tcPr>
            <w:tcW w:w="1137" w:type="pct"/>
            <w:gridSpan w:val="3"/>
            <w:tcBorders>
              <w:tl2br w:val="nil"/>
              <w:tr2bl w:val="nil"/>
            </w:tcBorders>
            <w:noWrap w:val="0"/>
            <w:vAlign w:val="center"/>
          </w:tcPr>
          <w:p w14:paraId="10B312E0">
            <w:pPr>
              <w:pStyle w:val="34"/>
              <w:bidi w:val="0"/>
              <w:rPr>
                <w:rFonts w:hint="default"/>
                <w:color w:val="auto"/>
                <w:highlight w:val="none"/>
              </w:rPr>
            </w:pPr>
            <w:r>
              <w:rPr>
                <w:rFonts w:hint="default"/>
                <w:color w:val="auto"/>
                <w:highlight w:val="none"/>
                <w:lang w:val="en-US" w:eastAsia="zh-CN"/>
              </w:rPr>
              <w:t>土石方开挖(万m³）</w:t>
            </w:r>
          </w:p>
        </w:tc>
        <w:tc>
          <w:tcPr>
            <w:tcW w:w="1073" w:type="pct"/>
            <w:gridSpan w:val="3"/>
            <w:tcBorders>
              <w:tl2br w:val="nil"/>
              <w:tr2bl w:val="nil"/>
            </w:tcBorders>
            <w:noWrap w:val="0"/>
            <w:vAlign w:val="center"/>
          </w:tcPr>
          <w:p w14:paraId="0DB94823">
            <w:pPr>
              <w:pStyle w:val="34"/>
              <w:bidi w:val="0"/>
              <w:rPr>
                <w:rFonts w:hint="default"/>
                <w:color w:val="auto"/>
                <w:highlight w:val="none"/>
              </w:rPr>
            </w:pPr>
            <w:r>
              <w:rPr>
                <w:rFonts w:hint="default"/>
                <w:color w:val="auto"/>
                <w:highlight w:val="none"/>
                <w:lang w:val="en-US" w:eastAsia="zh-CN"/>
              </w:rPr>
              <w:t>土石方回填(万m³）</w:t>
            </w:r>
          </w:p>
        </w:tc>
        <w:tc>
          <w:tcPr>
            <w:tcW w:w="618" w:type="pct"/>
            <w:gridSpan w:val="2"/>
            <w:tcBorders>
              <w:tl2br w:val="nil"/>
              <w:tr2bl w:val="nil"/>
            </w:tcBorders>
            <w:noWrap w:val="0"/>
            <w:vAlign w:val="center"/>
          </w:tcPr>
          <w:p w14:paraId="2ACF5481">
            <w:pPr>
              <w:pStyle w:val="34"/>
              <w:bidi w:val="0"/>
              <w:rPr>
                <w:rFonts w:hint="default"/>
                <w:color w:val="auto"/>
                <w:highlight w:val="none"/>
              </w:rPr>
            </w:pPr>
            <w:r>
              <w:rPr>
                <w:rFonts w:hint="default"/>
                <w:color w:val="auto"/>
                <w:highlight w:val="none"/>
                <w:lang w:val="en-US" w:eastAsia="zh-CN"/>
              </w:rPr>
              <w:t>调入(万m³）</w:t>
            </w:r>
          </w:p>
        </w:tc>
        <w:tc>
          <w:tcPr>
            <w:tcW w:w="618" w:type="pct"/>
            <w:gridSpan w:val="2"/>
            <w:tcBorders>
              <w:tl2br w:val="nil"/>
              <w:tr2bl w:val="nil"/>
            </w:tcBorders>
            <w:noWrap w:val="0"/>
            <w:vAlign w:val="center"/>
          </w:tcPr>
          <w:p w14:paraId="60ABECF2">
            <w:pPr>
              <w:pStyle w:val="34"/>
              <w:bidi w:val="0"/>
              <w:rPr>
                <w:rFonts w:hint="default"/>
                <w:color w:val="auto"/>
                <w:highlight w:val="none"/>
              </w:rPr>
            </w:pPr>
            <w:r>
              <w:rPr>
                <w:rFonts w:hint="default"/>
                <w:color w:val="auto"/>
                <w:highlight w:val="none"/>
                <w:lang w:val="en-US" w:eastAsia="zh-CN"/>
              </w:rPr>
              <w:t>调出(万m³）</w:t>
            </w:r>
          </w:p>
        </w:tc>
        <w:tc>
          <w:tcPr>
            <w:tcW w:w="408" w:type="pct"/>
            <w:vMerge w:val="restart"/>
            <w:tcBorders>
              <w:tl2br w:val="nil"/>
              <w:tr2bl w:val="nil"/>
            </w:tcBorders>
            <w:noWrap w:val="0"/>
            <w:vAlign w:val="center"/>
          </w:tcPr>
          <w:p w14:paraId="37C93965">
            <w:pPr>
              <w:pStyle w:val="34"/>
              <w:bidi w:val="0"/>
              <w:rPr>
                <w:rFonts w:hint="default"/>
                <w:color w:val="auto"/>
                <w:highlight w:val="none"/>
              </w:rPr>
            </w:pPr>
            <w:r>
              <w:rPr>
                <w:rFonts w:hint="default"/>
                <w:color w:val="auto"/>
                <w:highlight w:val="none"/>
                <w:lang w:val="en-US" w:eastAsia="zh-CN"/>
              </w:rPr>
              <w:t>借方(万m³）</w:t>
            </w:r>
          </w:p>
        </w:tc>
        <w:tc>
          <w:tcPr>
            <w:tcW w:w="418" w:type="pct"/>
            <w:vMerge w:val="restart"/>
            <w:tcBorders>
              <w:tl2br w:val="nil"/>
              <w:tr2bl w:val="nil"/>
            </w:tcBorders>
            <w:noWrap w:val="0"/>
            <w:vAlign w:val="center"/>
          </w:tcPr>
          <w:p w14:paraId="301ABFCD">
            <w:pPr>
              <w:pStyle w:val="34"/>
              <w:bidi w:val="0"/>
              <w:rPr>
                <w:rFonts w:hint="default"/>
                <w:color w:val="auto"/>
                <w:highlight w:val="none"/>
              </w:rPr>
            </w:pPr>
            <w:r>
              <w:rPr>
                <w:rFonts w:hint="default"/>
                <w:color w:val="auto"/>
                <w:highlight w:val="none"/>
                <w:lang w:val="en-US" w:eastAsia="zh-CN"/>
              </w:rPr>
              <w:t>余方（万m³）</w:t>
            </w:r>
          </w:p>
        </w:tc>
      </w:tr>
      <w:tr w14:paraId="5EC45B08">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428" w:hRule="atLeast"/>
        </w:trPr>
        <w:tc>
          <w:tcPr>
            <w:tcW w:w="724" w:type="pct"/>
            <w:vMerge w:val="continue"/>
            <w:tcBorders>
              <w:tl2br w:val="nil"/>
              <w:tr2bl w:val="nil"/>
            </w:tcBorders>
            <w:noWrap w:val="0"/>
            <w:vAlign w:val="center"/>
          </w:tcPr>
          <w:p w14:paraId="6D783804">
            <w:pPr>
              <w:pStyle w:val="34"/>
              <w:bidi w:val="0"/>
              <w:rPr>
                <w:rFonts w:hint="default"/>
                <w:color w:val="auto"/>
                <w:highlight w:val="none"/>
              </w:rPr>
            </w:pPr>
          </w:p>
        </w:tc>
        <w:tc>
          <w:tcPr>
            <w:tcW w:w="418" w:type="pct"/>
            <w:tcBorders>
              <w:tl2br w:val="nil"/>
              <w:tr2bl w:val="nil"/>
            </w:tcBorders>
            <w:noWrap w:val="0"/>
            <w:vAlign w:val="center"/>
          </w:tcPr>
          <w:p w14:paraId="731EF334">
            <w:pPr>
              <w:pStyle w:val="34"/>
              <w:bidi w:val="0"/>
              <w:rPr>
                <w:rFonts w:hint="default"/>
                <w:color w:val="auto"/>
                <w:highlight w:val="none"/>
              </w:rPr>
            </w:pPr>
            <w:r>
              <w:rPr>
                <w:rFonts w:hint="default"/>
                <w:color w:val="auto"/>
                <w:highlight w:val="none"/>
                <w:lang w:val="en-US" w:eastAsia="zh-CN"/>
              </w:rPr>
              <w:t>表土剥离</w:t>
            </w:r>
          </w:p>
        </w:tc>
        <w:tc>
          <w:tcPr>
            <w:tcW w:w="422" w:type="pct"/>
            <w:tcBorders>
              <w:tl2br w:val="nil"/>
              <w:tr2bl w:val="nil"/>
            </w:tcBorders>
            <w:noWrap w:val="0"/>
            <w:vAlign w:val="center"/>
          </w:tcPr>
          <w:p w14:paraId="76BE9CC6">
            <w:pPr>
              <w:pStyle w:val="34"/>
              <w:bidi w:val="0"/>
              <w:rPr>
                <w:rFonts w:hint="default"/>
                <w:color w:val="auto"/>
                <w:highlight w:val="none"/>
              </w:rPr>
            </w:pPr>
            <w:r>
              <w:rPr>
                <w:rFonts w:hint="default"/>
                <w:color w:val="auto"/>
                <w:highlight w:val="none"/>
                <w:lang w:val="en-US" w:eastAsia="zh-CN"/>
              </w:rPr>
              <w:t>土石开挖</w:t>
            </w:r>
          </w:p>
        </w:tc>
        <w:tc>
          <w:tcPr>
            <w:tcW w:w="296" w:type="pct"/>
            <w:tcBorders>
              <w:tl2br w:val="nil"/>
              <w:tr2bl w:val="nil"/>
            </w:tcBorders>
            <w:noWrap w:val="0"/>
            <w:vAlign w:val="center"/>
          </w:tcPr>
          <w:p w14:paraId="4E1C7753">
            <w:pPr>
              <w:pStyle w:val="34"/>
              <w:bidi w:val="0"/>
              <w:rPr>
                <w:rFonts w:hint="default"/>
                <w:color w:val="auto"/>
                <w:highlight w:val="none"/>
              </w:rPr>
            </w:pPr>
            <w:r>
              <w:rPr>
                <w:rFonts w:hint="default"/>
                <w:color w:val="auto"/>
                <w:highlight w:val="none"/>
                <w:lang w:val="en-US" w:eastAsia="zh-CN"/>
              </w:rPr>
              <w:t>小计</w:t>
            </w:r>
          </w:p>
        </w:tc>
        <w:tc>
          <w:tcPr>
            <w:tcW w:w="360" w:type="pct"/>
            <w:tcBorders>
              <w:tl2br w:val="nil"/>
              <w:tr2bl w:val="nil"/>
            </w:tcBorders>
            <w:noWrap w:val="0"/>
            <w:vAlign w:val="center"/>
          </w:tcPr>
          <w:p w14:paraId="6E4461AA">
            <w:pPr>
              <w:pStyle w:val="34"/>
              <w:bidi w:val="0"/>
              <w:rPr>
                <w:rFonts w:hint="default"/>
                <w:color w:val="auto"/>
                <w:highlight w:val="none"/>
              </w:rPr>
            </w:pPr>
            <w:r>
              <w:rPr>
                <w:rFonts w:hint="default"/>
                <w:color w:val="auto"/>
                <w:highlight w:val="none"/>
                <w:lang w:val="en-US" w:eastAsia="zh-CN"/>
              </w:rPr>
              <w:t>表土回覆</w:t>
            </w:r>
          </w:p>
        </w:tc>
        <w:tc>
          <w:tcPr>
            <w:tcW w:w="413" w:type="pct"/>
            <w:tcBorders>
              <w:tl2br w:val="nil"/>
              <w:tr2bl w:val="nil"/>
            </w:tcBorders>
            <w:noWrap w:val="0"/>
            <w:vAlign w:val="center"/>
          </w:tcPr>
          <w:p w14:paraId="40FE6A7D">
            <w:pPr>
              <w:pStyle w:val="34"/>
              <w:bidi w:val="0"/>
              <w:rPr>
                <w:rFonts w:hint="default"/>
                <w:color w:val="auto"/>
                <w:highlight w:val="none"/>
              </w:rPr>
            </w:pPr>
            <w:r>
              <w:rPr>
                <w:rFonts w:hint="default"/>
                <w:color w:val="auto"/>
                <w:highlight w:val="none"/>
                <w:lang w:val="en-US" w:eastAsia="zh-CN"/>
              </w:rPr>
              <w:t>土石回填</w:t>
            </w:r>
          </w:p>
        </w:tc>
        <w:tc>
          <w:tcPr>
            <w:tcW w:w="299" w:type="pct"/>
            <w:tcBorders>
              <w:tl2br w:val="nil"/>
              <w:tr2bl w:val="nil"/>
            </w:tcBorders>
            <w:noWrap w:val="0"/>
            <w:vAlign w:val="center"/>
          </w:tcPr>
          <w:p w14:paraId="3DA3882D">
            <w:pPr>
              <w:pStyle w:val="34"/>
              <w:bidi w:val="0"/>
              <w:rPr>
                <w:rFonts w:hint="default"/>
                <w:color w:val="auto"/>
                <w:highlight w:val="none"/>
              </w:rPr>
            </w:pPr>
            <w:r>
              <w:rPr>
                <w:rFonts w:hint="default"/>
                <w:color w:val="auto"/>
                <w:highlight w:val="none"/>
                <w:lang w:val="en-US" w:eastAsia="zh-CN"/>
              </w:rPr>
              <w:t>小计</w:t>
            </w:r>
          </w:p>
        </w:tc>
        <w:tc>
          <w:tcPr>
            <w:tcW w:w="296" w:type="pct"/>
            <w:tcBorders>
              <w:tl2br w:val="nil"/>
              <w:tr2bl w:val="nil"/>
            </w:tcBorders>
            <w:noWrap w:val="0"/>
            <w:vAlign w:val="center"/>
          </w:tcPr>
          <w:p w14:paraId="1DC9ADAB">
            <w:pPr>
              <w:pStyle w:val="34"/>
              <w:bidi w:val="0"/>
              <w:rPr>
                <w:rFonts w:hint="default"/>
                <w:color w:val="auto"/>
                <w:highlight w:val="none"/>
              </w:rPr>
            </w:pPr>
            <w:r>
              <w:rPr>
                <w:rFonts w:hint="default"/>
                <w:color w:val="auto"/>
                <w:highlight w:val="none"/>
                <w:lang w:val="en-US" w:eastAsia="zh-CN"/>
              </w:rPr>
              <w:t>数量</w:t>
            </w:r>
          </w:p>
        </w:tc>
        <w:tc>
          <w:tcPr>
            <w:tcW w:w="322" w:type="pct"/>
            <w:tcBorders>
              <w:tl2br w:val="nil"/>
              <w:tr2bl w:val="nil"/>
            </w:tcBorders>
            <w:noWrap w:val="0"/>
            <w:vAlign w:val="center"/>
          </w:tcPr>
          <w:p w14:paraId="25B917BF">
            <w:pPr>
              <w:pStyle w:val="34"/>
              <w:bidi w:val="0"/>
              <w:rPr>
                <w:rFonts w:hint="default"/>
                <w:color w:val="auto"/>
                <w:highlight w:val="none"/>
              </w:rPr>
            </w:pPr>
            <w:r>
              <w:rPr>
                <w:rFonts w:hint="default"/>
                <w:color w:val="auto"/>
                <w:highlight w:val="none"/>
                <w:lang w:val="en-US" w:eastAsia="zh-CN"/>
              </w:rPr>
              <w:t>来源</w:t>
            </w:r>
          </w:p>
        </w:tc>
        <w:tc>
          <w:tcPr>
            <w:tcW w:w="296" w:type="pct"/>
            <w:tcBorders>
              <w:tl2br w:val="nil"/>
              <w:tr2bl w:val="nil"/>
            </w:tcBorders>
            <w:noWrap w:val="0"/>
            <w:vAlign w:val="center"/>
          </w:tcPr>
          <w:p w14:paraId="38561828">
            <w:pPr>
              <w:pStyle w:val="34"/>
              <w:bidi w:val="0"/>
              <w:rPr>
                <w:rFonts w:hint="default"/>
                <w:color w:val="auto"/>
                <w:highlight w:val="none"/>
              </w:rPr>
            </w:pPr>
            <w:r>
              <w:rPr>
                <w:rFonts w:hint="default"/>
                <w:color w:val="auto"/>
                <w:highlight w:val="none"/>
                <w:lang w:val="en-US" w:eastAsia="zh-CN"/>
              </w:rPr>
              <w:t>数量</w:t>
            </w:r>
          </w:p>
        </w:tc>
        <w:tc>
          <w:tcPr>
            <w:tcW w:w="322" w:type="pct"/>
            <w:tcBorders>
              <w:tl2br w:val="nil"/>
              <w:tr2bl w:val="nil"/>
            </w:tcBorders>
            <w:noWrap w:val="0"/>
            <w:vAlign w:val="center"/>
          </w:tcPr>
          <w:p w14:paraId="3DB612E1">
            <w:pPr>
              <w:pStyle w:val="34"/>
              <w:bidi w:val="0"/>
              <w:rPr>
                <w:rFonts w:hint="default"/>
                <w:color w:val="auto"/>
                <w:highlight w:val="none"/>
              </w:rPr>
            </w:pPr>
            <w:r>
              <w:rPr>
                <w:rFonts w:hint="default"/>
                <w:color w:val="auto"/>
                <w:highlight w:val="none"/>
                <w:lang w:val="en-US" w:eastAsia="zh-CN"/>
              </w:rPr>
              <w:t>去向</w:t>
            </w:r>
          </w:p>
        </w:tc>
        <w:tc>
          <w:tcPr>
            <w:tcW w:w="408" w:type="pct"/>
            <w:vMerge w:val="continue"/>
            <w:tcBorders>
              <w:tl2br w:val="nil"/>
              <w:tr2bl w:val="nil"/>
            </w:tcBorders>
            <w:noWrap w:val="0"/>
            <w:vAlign w:val="center"/>
          </w:tcPr>
          <w:p w14:paraId="50DA5924">
            <w:pPr>
              <w:pStyle w:val="34"/>
              <w:bidi w:val="0"/>
              <w:rPr>
                <w:rFonts w:hint="default"/>
                <w:color w:val="auto"/>
                <w:highlight w:val="none"/>
              </w:rPr>
            </w:pPr>
          </w:p>
        </w:tc>
        <w:tc>
          <w:tcPr>
            <w:tcW w:w="418" w:type="pct"/>
            <w:vMerge w:val="continue"/>
            <w:tcBorders>
              <w:tl2br w:val="nil"/>
              <w:tr2bl w:val="nil"/>
            </w:tcBorders>
            <w:noWrap w:val="0"/>
            <w:vAlign w:val="center"/>
          </w:tcPr>
          <w:p w14:paraId="6170255B">
            <w:pPr>
              <w:pStyle w:val="34"/>
              <w:bidi w:val="0"/>
              <w:rPr>
                <w:rFonts w:hint="default"/>
                <w:color w:val="auto"/>
                <w:highlight w:val="none"/>
              </w:rPr>
            </w:pPr>
          </w:p>
        </w:tc>
      </w:tr>
      <w:tr w14:paraId="0158436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3" w:hRule="atLeast"/>
        </w:trPr>
        <w:tc>
          <w:tcPr>
            <w:tcW w:w="724" w:type="pct"/>
            <w:tcBorders>
              <w:tl2br w:val="nil"/>
              <w:tr2bl w:val="nil"/>
            </w:tcBorders>
            <w:noWrap/>
            <w:vAlign w:val="center"/>
          </w:tcPr>
          <w:p w14:paraId="0B273998">
            <w:pPr>
              <w:pStyle w:val="34"/>
              <w:bidi w:val="0"/>
              <w:rPr>
                <w:rFonts w:hint="default"/>
                <w:color w:val="auto"/>
                <w:highlight w:val="none"/>
              </w:rPr>
            </w:pPr>
            <w:r>
              <w:rPr>
                <w:rFonts w:hint="eastAsia"/>
                <w:color w:val="auto"/>
                <w:highlight w:val="none"/>
                <w:lang w:val="en-US" w:eastAsia="zh-CN"/>
              </w:rPr>
              <w:t>①</w:t>
            </w:r>
            <w:r>
              <w:rPr>
                <w:rFonts w:hint="default"/>
                <w:color w:val="auto"/>
                <w:highlight w:val="none"/>
                <w:lang w:val="en-US" w:eastAsia="zh-CN"/>
              </w:rPr>
              <w:t>建构筑物区</w:t>
            </w:r>
          </w:p>
        </w:tc>
        <w:tc>
          <w:tcPr>
            <w:tcW w:w="748" w:type="dxa"/>
            <w:tcBorders>
              <w:tl2br w:val="nil"/>
              <w:tr2bl w:val="nil"/>
            </w:tcBorders>
            <w:noWrap w:val="0"/>
            <w:vAlign w:val="center"/>
          </w:tcPr>
          <w:p w14:paraId="2C0DDE1B">
            <w:pPr>
              <w:pStyle w:val="34"/>
              <w:bidi w:val="0"/>
              <w:rPr>
                <w:rFonts w:hint="default"/>
                <w:color w:val="auto"/>
              </w:rPr>
            </w:pPr>
            <w:r>
              <w:rPr>
                <w:rFonts w:hint="default"/>
                <w:color w:val="auto"/>
                <w:lang w:val="en-US" w:eastAsia="zh-CN"/>
              </w:rPr>
              <w:t>0</w:t>
            </w:r>
          </w:p>
        </w:tc>
        <w:tc>
          <w:tcPr>
            <w:tcW w:w="755" w:type="dxa"/>
            <w:tcBorders>
              <w:tl2br w:val="nil"/>
              <w:tr2bl w:val="nil"/>
            </w:tcBorders>
            <w:noWrap w:val="0"/>
            <w:vAlign w:val="center"/>
          </w:tcPr>
          <w:p w14:paraId="4BE8435E">
            <w:pPr>
              <w:pStyle w:val="34"/>
              <w:bidi w:val="0"/>
              <w:rPr>
                <w:rFonts w:hint="default"/>
                <w:color w:val="auto"/>
              </w:rPr>
            </w:pPr>
            <w:r>
              <w:rPr>
                <w:rFonts w:hint="default"/>
                <w:color w:val="auto"/>
                <w:lang w:val="en-US" w:eastAsia="zh-CN"/>
              </w:rPr>
              <w:t>0.75</w:t>
            </w:r>
          </w:p>
        </w:tc>
        <w:tc>
          <w:tcPr>
            <w:tcW w:w="531" w:type="dxa"/>
            <w:tcBorders>
              <w:tl2br w:val="nil"/>
              <w:tr2bl w:val="nil"/>
            </w:tcBorders>
            <w:noWrap w:val="0"/>
            <w:vAlign w:val="center"/>
          </w:tcPr>
          <w:p w14:paraId="2DF72F0D">
            <w:pPr>
              <w:pStyle w:val="34"/>
              <w:bidi w:val="0"/>
              <w:rPr>
                <w:rFonts w:hint="default"/>
                <w:color w:val="auto"/>
              </w:rPr>
            </w:pPr>
            <w:r>
              <w:rPr>
                <w:rFonts w:hint="default"/>
                <w:color w:val="auto"/>
                <w:lang w:val="en-US" w:eastAsia="zh-CN"/>
              </w:rPr>
              <w:t>0.75</w:t>
            </w:r>
          </w:p>
        </w:tc>
        <w:tc>
          <w:tcPr>
            <w:tcW w:w="645" w:type="dxa"/>
            <w:tcBorders>
              <w:tl2br w:val="nil"/>
              <w:tr2bl w:val="nil"/>
            </w:tcBorders>
            <w:noWrap w:val="0"/>
            <w:vAlign w:val="center"/>
          </w:tcPr>
          <w:p w14:paraId="7D670013">
            <w:pPr>
              <w:pStyle w:val="34"/>
              <w:bidi w:val="0"/>
              <w:rPr>
                <w:rFonts w:hint="default"/>
                <w:color w:val="auto"/>
              </w:rPr>
            </w:pPr>
            <w:r>
              <w:rPr>
                <w:rFonts w:hint="default"/>
                <w:color w:val="auto"/>
                <w:lang w:val="en-US" w:eastAsia="zh-CN"/>
              </w:rPr>
              <w:t>0</w:t>
            </w:r>
          </w:p>
        </w:tc>
        <w:tc>
          <w:tcPr>
            <w:tcW w:w="739" w:type="dxa"/>
            <w:tcBorders>
              <w:tl2br w:val="nil"/>
              <w:tr2bl w:val="nil"/>
            </w:tcBorders>
            <w:noWrap w:val="0"/>
            <w:vAlign w:val="center"/>
          </w:tcPr>
          <w:p w14:paraId="2CFCE5BB">
            <w:pPr>
              <w:pStyle w:val="34"/>
              <w:bidi w:val="0"/>
              <w:rPr>
                <w:rFonts w:hint="default"/>
                <w:color w:val="auto"/>
              </w:rPr>
            </w:pPr>
            <w:r>
              <w:rPr>
                <w:rFonts w:hint="default"/>
                <w:color w:val="auto"/>
                <w:lang w:val="en-US" w:eastAsia="zh-CN"/>
              </w:rPr>
              <w:t xml:space="preserve">0.35 </w:t>
            </w:r>
          </w:p>
        </w:tc>
        <w:tc>
          <w:tcPr>
            <w:tcW w:w="535" w:type="dxa"/>
            <w:tcBorders>
              <w:tl2br w:val="nil"/>
              <w:tr2bl w:val="nil"/>
            </w:tcBorders>
            <w:noWrap w:val="0"/>
            <w:vAlign w:val="center"/>
          </w:tcPr>
          <w:p w14:paraId="1D6FAA6C">
            <w:pPr>
              <w:pStyle w:val="34"/>
              <w:bidi w:val="0"/>
              <w:rPr>
                <w:rFonts w:hint="default"/>
                <w:color w:val="auto"/>
              </w:rPr>
            </w:pPr>
            <w:r>
              <w:rPr>
                <w:rFonts w:hint="default"/>
                <w:color w:val="auto"/>
                <w:lang w:val="en-US" w:eastAsia="zh-CN"/>
              </w:rPr>
              <w:t>0.35</w:t>
            </w:r>
          </w:p>
        </w:tc>
        <w:tc>
          <w:tcPr>
            <w:tcW w:w="531" w:type="dxa"/>
            <w:tcBorders>
              <w:tl2br w:val="nil"/>
              <w:tr2bl w:val="nil"/>
            </w:tcBorders>
            <w:noWrap w:val="0"/>
            <w:vAlign w:val="center"/>
          </w:tcPr>
          <w:p w14:paraId="340813B4">
            <w:pPr>
              <w:pStyle w:val="34"/>
              <w:bidi w:val="0"/>
              <w:rPr>
                <w:rFonts w:hint="default"/>
                <w:color w:val="auto"/>
              </w:rPr>
            </w:pPr>
          </w:p>
        </w:tc>
        <w:tc>
          <w:tcPr>
            <w:tcW w:w="576" w:type="dxa"/>
            <w:tcBorders>
              <w:tl2br w:val="nil"/>
              <w:tr2bl w:val="nil"/>
            </w:tcBorders>
            <w:noWrap w:val="0"/>
            <w:vAlign w:val="center"/>
          </w:tcPr>
          <w:p w14:paraId="7F7F29D5">
            <w:pPr>
              <w:pStyle w:val="34"/>
              <w:bidi w:val="0"/>
              <w:rPr>
                <w:rFonts w:hint="default"/>
                <w:color w:val="auto"/>
              </w:rPr>
            </w:pPr>
          </w:p>
        </w:tc>
        <w:tc>
          <w:tcPr>
            <w:tcW w:w="531" w:type="dxa"/>
            <w:tcBorders>
              <w:tl2br w:val="nil"/>
              <w:tr2bl w:val="nil"/>
            </w:tcBorders>
            <w:noWrap w:val="0"/>
            <w:vAlign w:val="center"/>
          </w:tcPr>
          <w:p w14:paraId="1B51AE6B">
            <w:pPr>
              <w:pStyle w:val="34"/>
              <w:bidi w:val="0"/>
              <w:rPr>
                <w:rFonts w:hint="default"/>
                <w:color w:val="auto"/>
              </w:rPr>
            </w:pPr>
            <w:r>
              <w:rPr>
                <w:rFonts w:hint="default"/>
                <w:color w:val="auto"/>
                <w:lang w:val="en-US" w:eastAsia="zh-CN"/>
              </w:rPr>
              <w:t>0.4</w:t>
            </w:r>
          </w:p>
        </w:tc>
        <w:tc>
          <w:tcPr>
            <w:tcW w:w="576" w:type="dxa"/>
            <w:tcBorders>
              <w:tl2br w:val="nil"/>
              <w:tr2bl w:val="nil"/>
            </w:tcBorders>
            <w:noWrap w:val="0"/>
            <w:vAlign w:val="center"/>
          </w:tcPr>
          <w:p w14:paraId="253D63B9">
            <w:pPr>
              <w:pStyle w:val="34"/>
              <w:bidi w:val="0"/>
              <w:rPr>
                <w:rFonts w:hint="default"/>
                <w:color w:val="auto"/>
              </w:rPr>
            </w:pPr>
            <w:r>
              <w:rPr>
                <w:rFonts w:hint="eastAsia"/>
                <w:color w:val="auto"/>
                <w:lang w:val="en-US" w:eastAsia="zh-CN"/>
              </w:rPr>
              <w:t>②</w:t>
            </w:r>
          </w:p>
        </w:tc>
        <w:tc>
          <w:tcPr>
            <w:tcW w:w="408" w:type="pct"/>
            <w:vMerge w:val="restart"/>
            <w:tcBorders>
              <w:tl2br w:val="nil"/>
              <w:tr2bl w:val="nil"/>
            </w:tcBorders>
            <w:noWrap w:val="0"/>
            <w:vAlign w:val="center"/>
          </w:tcPr>
          <w:p w14:paraId="56286E9D">
            <w:pPr>
              <w:pStyle w:val="34"/>
              <w:bidi w:val="0"/>
              <w:rPr>
                <w:rFonts w:hint="default"/>
                <w:color w:val="auto"/>
                <w:highlight w:val="none"/>
              </w:rPr>
            </w:pPr>
          </w:p>
        </w:tc>
        <w:tc>
          <w:tcPr>
            <w:tcW w:w="418" w:type="pct"/>
            <w:vMerge w:val="restart"/>
            <w:tcBorders>
              <w:tl2br w:val="nil"/>
              <w:tr2bl w:val="nil"/>
            </w:tcBorders>
            <w:noWrap w:val="0"/>
            <w:vAlign w:val="center"/>
          </w:tcPr>
          <w:p w14:paraId="652981B3">
            <w:pPr>
              <w:pStyle w:val="34"/>
              <w:bidi w:val="0"/>
              <w:rPr>
                <w:rFonts w:hint="default"/>
                <w:color w:val="auto"/>
                <w:highlight w:val="none"/>
              </w:rPr>
            </w:pPr>
          </w:p>
        </w:tc>
      </w:tr>
      <w:tr w14:paraId="70BE614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87" w:hRule="atLeast"/>
        </w:trPr>
        <w:tc>
          <w:tcPr>
            <w:tcW w:w="724" w:type="pct"/>
            <w:tcBorders>
              <w:tl2br w:val="nil"/>
              <w:tr2bl w:val="nil"/>
            </w:tcBorders>
            <w:noWrap w:val="0"/>
            <w:vAlign w:val="center"/>
          </w:tcPr>
          <w:p w14:paraId="7DAA73AC">
            <w:pPr>
              <w:pStyle w:val="34"/>
              <w:bidi w:val="0"/>
              <w:rPr>
                <w:rFonts w:hint="default"/>
                <w:color w:val="auto"/>
                <w:highlight w:val="none"/>
              </w:rPr>
            </w:pPr>
            <w:r>
              <w:rPr>
                <w:rFonts w:hint="eastAsia"/>
                <w:color w:val="auto"/>
                <w:highlight w:val="none"/>
                <w:lang w:val="en-US" w:eastAsia="zh-CN"/>
              </w:rPr>
              <w:t>②</w:t>
            </w:r>
            <w:r>
              <w:rPr>
                <w:rFonts w:hint="default"/>
                <w:color w:val="auto"/>
                <w:highlight w:val="none"/>
                <w:lang w:val="en-US" w:eastAsia="zh-CN"/>
              </w:rPr>
              <w:t>道路硬化区</w:t>
            </w:r>
          </w:p>
        </w:tc>
        <w:tc>
          <w:tcPr>
            <w:tcW w:w="748" w:type="dxa"/>
            <w:tcBorders>
              <w:tl2br w:val="nil"/>
              <w:tr2bl w:val="nil"/>
            </w:tcBorders>
            <w:noWrap w:val="0"/>
            <w:vAlign w:val="center"/>
          </w:tcPr>
          <w:p w14:paraId="17A142AA">
            <w:pPr>
              <w:pStyle w:val="34"/>
              <w:bidi w:val="0"/>
              <w:rPr>
                <w:rFonts w:hint="default"/>
                <w:color w:val="auto"/>
              </w:rPr>
            </w:pPr>
            <w:r>
              <w:rPr>
                <w:rFonts w:hint="default"/>
                <w:color w:val="auto"/>
                <w:lang w:val="en-US" w:eastAsia="zh-CN"/>
              </w:rPr>
              <w:t>0</w:t>
            </w:r>
          </w:p>
        </w:tc>
        <w:tc>
          <w:tcPr>
            <w:tcW w:w="755" w:type="dxa"/>
            <w:tcBorders>
              <w:tl2br w:val="nil"/>
              <w:tr2bl w:val="nil"/>
            </w:tcBorders>
            <w:noWrap/>
            <w:vAlign w:val="center"/>
          </w:tcPr>
          <w:p w14:paraId="7C069C40">
            <w:pPr>
              <w:pStyle w:val="34"/>
              <w:bidi w:val="0"/>
              <w:rPr>
                <w:rFonts w:hint="default"/>
                <w:color w:val="auto"/>
              </w:rPr>
            </w:pPr>
            <w:r>
              <w:rPr>
                <w:rFonts w:hint="default"/>
                <w:color w:val="auto"/>
                <w:lang w:val="en-US" w:eastAsia="zh-CN"/>
              </w:rPr>
              <w:t>0.57</w:t>
            </w:r>
          </w:p>
        </w:tc>
        <w:tc>
          <w:tcPr>
            <w:tcW w:w="531" w:type="dxa"/>
            <w:tcBorders>
              <w:tl2br w:val="nil"/>
              <w:tr2bl w:val="nil"/>
            </w:tcBorders>
            <w:noWrap w:val="0"/>
            <w:vAlign w:val="center"/>
          </w:tcPr>
          <w:p w14:paraId="2D0B5205">
            <w:pPr>
              <w:pStyle w:val="34"/>
              <w:bidi w:val="0"/>
              <w:rPr>
                <w:rFonts w:hint="default"/>
                <w:color w:val="auto"/>
              </w:rPr>
            </w:pPr>
            <w:r>
              <w:rPr>
                <w:rFonts w:hint="default"/>
                <w:color w:val="auto"/>
                <w:lang w:val="en-US" w:eastAsia="zh-CN"/>
              </w:rPr>
              <w:t>0.57</w:t>
            </w:r>
          </w:p>
        </w:tc>
        <w:tc>
          <w:tcPr>
            <w:tcW w:w="645" w:type="dxa"/>
            <w:tcBorders>
              <w:tl2br w:val="nil"/>
              <w:tr2bl w:val="nil"/>
            </w:tcBorders>
            <w:noWrap/>
            <w:vAlign w:val="center"/>
          </w:tcPr>
          <w:p w14:paraId="0876C3AD">
            <w:pPr>
              <w:pStyle w:val="34"/>
              <w:bidi w:val="0"/>
              <w:rPr>
                <w:rFonts w:hint="default"/>
                <w:color w:val="auto"/>
              </w:rPr>
            </w:pPr>
            <w:r>
              <w:rPr>
                <w:rFonts w:hint="default"/>
                <w:color w:val="auto"/>
                <w:lang w:val="en-US" w:eastAsia="zh-CN"/>
              </w:rPr>
              <w:t>0</w:t>
            </w:r>
          </w:p>
        </w:tc>
        <w:tc>
          <w:tcPr>
            <w:tcW w:w="739" w:type="dxa"/>
            <w:tcBorders>
              <w:tl2br w:val="nil"/>
              <w:tr2bl w:val="nil"/>
            </w:tcBorders>
            <w:noWrap w:val="0"/>
            <w:vAlign w:val="center"/>
          </w:tcPr>
          <w:p w14:paraId="4352B639">
            <w:pPr>
              <w:pStyle w:val="34"/>
              <w:bidi w:val="0"/>
              <w:rPr>
                <w:rFonts w:hint="default"/>
                <w:color w:val="auto"/>
              </w:rPr>
            </w:pPr>
            <w:r>
              <w:rPr>
                <w:rFonts w:hint="default"/>
                <w:color w:val="auto"/>
                <w:lang w:val="en-US" w:eastAsia="zh-CN"/>
              </w:rPr>
              <w:t>0.97</w:t>
            </w:r>
          </w:p>
        </w:tc>
        <w:tc>
          <w:tcPr>
            <w:tcW w:w="535" w:type="dxa"/>
            <w:tcBorders>
              <w:tl2br w:val="nil"/>
              <w:tr2bl w:val="nil"/>
            </w:tcBorders>
            <w:noWrap w:val="0"/>
            <w:vAlign w:val="center"/>
          </w:tcPr>
          <w:p w14:paraId="68993734">
            <w:pPr>
              <w:pStyle w:val="34"/>
              <w:bidi w:val="0"/>
              <w:rPr>
                <w:rFonts w:hint="default"/>
                <w:color w:val="auto"/>
              </w:rPr>
            </w:pPr>
            <w:r>
              <w:rPr>
                <w:rFonts w:hint="default"/>
                <w:color w:val="auto"/>
                <w:lang w:val="en-US" w:eastAsia="zh-CN"/>
              </w:rPr>
              <w:t>0.97</w:t>
            </w:r>
          </w:p>
        </w:tc>
        <w:tc>
          <w:tcPr>
            <w:tcW w:w="531" w:type="dxa"/>
            <w:tcBorders>
              <w:tl2br w:val="nil"/>
              <w:tr2bl w:val="nil"/>
            </w:tcBorders>
            <w:noWrap w:val="0"/>
            <w:vAlign w:val="center"/>
          </w:tcPr>
          <w:p w14:paraId="7ECD1CDB">
            <w:pPr>
              <w:pStyle w:val="34"/>
              <w:bidi w:val="0"/>
              <w:rPr>
                <w:rFonts w:hint="default"/>
                <w:color w:val="auto"/>
              </w:rPr>
            </w:pPr>
            <w:r>
              <w:rPr>
                <w:rFonts w:hint="default"/>
                <w:color w:val="auto"/>
                <w:lang w:val="en-US" w:eastAsia="zh-CN"/>
              </w:rPr>
              <w:t>0.4</w:t>
            </w:r>
          </w:p>
        </w:tc>
        <w:tc>
          <w:tcPr>
            <w:tcW w:w="576" w:type="dxa"/>
            <w:tcBorders>
              <w:tl2br w:val="nil"/>
              <w:tr2bl w:val="nil"/>
            </w:tcBorders>
            <w:noWrap w:val="0"/>
            <w:vAlign w:val="center"/>
          </w:tcPr>
          <w:p w14:paraId="58BD40FF">
            <w:pPr>
              <w:pStyle w:val="34"/>
              <w:bidi w:val="0"/>
              <w:rPr>
                <w:rFonts w:hint="default"/>
                <w:color w:val="auto"/>
              </w:rPr>
            </w:pPr>
            <w:r>
              <w:rPr>
                <w:rFonts w:hint="default"/>
                <w:color w:val="auto"/>
                <w:lang w:val="en-US" w:eastAsia="zh-CN"/>
              </w:rPr>
              <w:t>①</w:t>
            </w:r>
          </w:p>
        </w:tc>
        <w:tc>
          <w:tcPr>
            <w:tcW w:w="531" w:type="dxa"/>
            <w:tcBorders>
              <w:tl2br w:val="nil"/>
              <w:tr2bl w:val="nil"/>
            </w:tcBorders>
            <w:noWrap w:val="0"/>
            <w:vAlign w:val="center"/>
          </w:tcPr>
          <w:p w14:paraId="434A7C5B">
            <w:pPr>
              <w:pStyle w:val="34"/>
              <w:bidi w:val="0"/>
              <w:rPr>
                <w:rFonts w:hint="default"/>
                <w:color w:val="auto"/>
              </w:rPr>
            </w:pPr>
          </w:p>
        </w:tc>
        <w:tc>
          <w:tcPr>
            <w:tcW w:w="576" w:type="dxa"/>
            <w:tcBorders>
              <w:tl2br w:val="nil"/>
              <w:tr2bl w:val="nil"/>
            </w:tcBorders>
            <w:noWrap w:val="0"/>
            <w:vAlign w:val="center"/>
          </w:tcPr>
          <w:p w14:paraId="20CC6B0B">
            <w:pPr>
              <w:pStyle w:val="34"/>
              <w:bidi w:val="0"/>
              <w:rPr>
                <w:rFonts w:hint="default"/>
                <w:color w:val="auto"/>
              </w:rPr>
            </w:pPr>
          </w:p>
        </w:tc>
        <w:tc>
          <w:tcPr>
            <w:tcW w:w="408" w:type="pct"/>
            <w:vMerge w:val="continue"/>
            <w:tcBorders>
              <w:tl2br w:val="nil"/>
              <w:tr2bl w:val="nil"/>
            </w:tcBorders>
            <w:noWrap w:val="0"/>
            <w:vAlign w:val="center"/>
          </w:tcPr>
          <w:p w14:paraId="72CC155E">
            <w:pPr>
              <w:pStyle w:val="34"/>
              <w:bidi w:val="0"/>
              <w:rPr>
                <w:rFonts w:hint="default"/>
                <w:color w:val="auto"/>
                <w:highlight w:val="none"/>
              </w:rPr>
            </w:pPr>
          </w:p>
        </w:tc>
        <w:tc>
          <w:tcPr>
            <w:tcW w:w="418" w:type="pct"/>
            <w:vMerge w:val="continue"/>
            <w:tcBorders>
              <w:tl2br w:val="nil"/>
              <w:tr2bl w:val="nil"/>
            </w:tcBorders>
            <w:noWrap w:val="0"/>
            <w:vAlign w:val="center"/>
          </w:tcPr>
          <w:p w14:paraId="635371CD">
            <w:pPr>
              <w:pStyle w:val="34"/>
              <w:bidi w:val="0"/>
              <w:rPr>
                <w:rFonts w:hint="default"/>
                <w:color w:val="auto"/>
                <w:highlight w:val="none"/>
              </w:rPr>
            </w:pPr>
          </w:p>
        </w:tc>
      </w:tr>
      <w:tr w14:paraId="0A00BC4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174" w:hRule="atLeast"/>
        </w:trPr>
        <w:tc>
          <w:tcPr>
            <w:tcW w:w="724" w:type="pct"/>
            <w:tcBorders>
              <w:tl2br w:val="nil"/>
              <w:tr2bl w:val="nil"/>
            </w:tcBorders>
            <w:noWrap w:val="0"/>
            <w:vAlign w:val="center"/>
          </w:tcPr>
          <w:p w14:paraId="2A654591">
            <w:pPr>
              <w:pStyle w:val="34"/>
              <w:bidi w:val="0"/>
              <w:rPr>
                <w:rFonts w:hint="default"/>
                <w:color w:val="auto"/>
                <w:highlight w:val="none"/>
              </w:rPr>
            </w:pPr>
            <w:r>
              <w:rPr>
                <w:rFonts w:hint="default"/>
                <w:color w:val="auto"/>
                <w:highlight w:val="none"/>
                <w:lang w:val="en-US" w:eastAsia="zh-CN"/>
              </w:rPr>
              <w:t>合计</w:t>
            </w:r>
          </w:p>
        </w:tc>
        <w:tc>
          <w:tcPr>
            <w:tcW w:w="748" w:type="dxa"/>
            <w:tcBorders>
              <w:tl2br w:val="nil"/>
              <w:tr2bl w:val="nil"/>
            </w:tcBorders>
            <w:noWrap w:val="0"/>
            <w:vAlign w:val="center"/>
          </w:tcPr>
          <w:p w14:paraId="3A0ACEBD">
            <w:pPr>
              <w:pStyle w:val="34"/>
              <w:bidi w:val="0"/>
              <w:rPr>
                <w:rFonts w:hint="default"/>
                <w:color w:val="auto"/>
              </w:rPr>
            </w:pPr>
            <w:r>
              <w:rPr>
                <w:rFonts w:hint="default"/>
                <w:color w:val="auto"/>
                <w:lang w:val="en-US" w:eastAsia="zh-CN"/>
              </w:rPr>
              <w:t>0</w:t>
            </w:r>
          </w:p>
        </w:tc>
        <w:tc>
          <w:tcPr>
            <w:tcW w:w="755" w:type="dxa"/>
            <w:tcBorders>
              <w:tl2br w:val="nil"/>
              <w:tr2bl w:val="nil"/>
            </w:tcBorders>
            <w:noWrap w:val="0"/>
            <w:vAlign w:val="center"/>
          </w:tcPr>
          <w:p w14:paraId="167C900A">
            <w:pPr>
              <w:pStyle w:val="34"/>
              <w:bidi w:val="0"/>
              <w:rPr>
                <w:rFonts w:hint="default"/>
                <w:color w:val="auto"/>
              </w:rPr>
            </w:pPr>
            <w:r>
              <w:rPr>
                <w:rFonts w:hint="default"/>
                <w:color w:val="auto"/>
                <w:lang w:val="en-US" w:eastAsia="zh-CN"/>
              </w:rPr>
              <w:t>1.32</w:t>
            </w:r>
          </w:p>
        </w:tc>
        <w:tc>
          <w:tcPr>
            <w:tcW w:w="531" w:type="dxa"/>
            <w:tcBorders>
              <w:tl2br w:val="nil"/>
              <w:tr2bl w:val="nil"/>
            </w:tcBorders>
            <w:noWrap w:val="0"/>
            <w:vAlign w:val="center"/>
          </w:tcPr>
          <w:p w14:paraId="2EB49C7E">
            <w:pPr>
              <w:pStyle w:val="34"/>
              <w:bidi w:val="0"/>
              <w:rPr>
                <w:rFonts w:hint="default"/>
                <w:color w:val="auto"/>
              </w:rPr>
            </w:pPr>
            <w:r>
              <w:rPr>
                <w:rFonts w:hint="default"/>
                <w:color w:val="auto"/>
                <w:lang w:val="en-US" w:eastAsia="zh-CN"/>
              </w:rPr>
              <w:t>1.32</w:t>
            </w:r>
          </w:p>
        </w:tc>
        <w:tc>
          <w:tcPr>
            <w:tcW w:w="645" w:type="dxa"/>
            <w:tcBorders>
              <w:tl2br w:val="nil"/>
              <w:tr2bl w:val="nil"/>
            </w:tcBorders>
            <w:noWrap/>
            <w:vAlign w:val="center"/>
          </w:tcPr>
          <w:p w14:paraId="22126D80">
            <w:pPr>
              <w:pStyle w:val="34"/>
              <w:bidi w:val="0"/>
              <w:rPr>
                <w:rFonts w:hint="default"/>
                <w:color w:val="auto"/>
              </w:rPr>
            </w:pPr>
            <w:r>
              <w:rPr>
                <w:rFonts w:hint="default"/>
                <w:color w:val="auto"/>
                <w:lang w:val="en-US" w:eastAsia="zh-CN"/>
              </w:rPr>
              <w:t>0</w:t>
            </w:r>
          </w:p>
        </w:tc>
        <w:tc>
          <w:tcPr>
            <w:tcW w:w="739" w:type="dxa"/>
            <w:tcBorders>
              <w:tl2br w:val="nil"/>
              <w:tr2bl w:val="nil"/>
            </w:tcBorders>
            <w:noWrap w:val="0"/>
            <w:vAlign w:val="center"/>
          </w:tcPr>
          <w:p w14:paraId="41E801F6">
            <w:pPr>
              <w:pStyle w:val="34"/>
              <w:bidi w:val="0"/>
              <w:rPr>
                <w:rFonts w:hint="default"/>
                <w:color w:val="auto"/>
              </w:rPr>
            </w:pPr>
            <w:r>
              <w:rPr>
                <w:rFonts w:hint="default"/>
                <w:color w:val="auto"/>
                <w:lang w:val="en-US" w:eastAsia="zh-CN"/>
              </w:rPr>
              <w:t>1.32</w:t>
            </w:r>
          </w:p>
        </w:tc>
        <w:tc>
          <w:tcPr>
            <w:tcW w:w="535" w:type="dxa"/>
            <w:tcBorders>
              <w:tl2br w:val="nil"/>
              <w:tr2bl w:val="nil"/>
            </w:tcBorders>
            <w:noWrap w:val="0"/>
            <w:vAlign w:val="center"/>
          </w:tcPr>
          <w:p w14:paraId="6BC1F06D">
            <w:pPr>
              <w:pStyle w:val="34"/>
              <w:bidi w:val="0"/>
              <w:rPr>
                <w:rFonts w:hint="default"/>
                <w:color w:val="auto"/>
              </w:rPr>
            </w:pPr>
            <w:r>
              <w:rPr>
                <w:rFonts w:hint="default"/>
                <w:color w:val="auto"/>
                <w:lang w:val="en-US" w:eastAsia="zh-CN"/>
              </w:rPr>
              <w:t>1.32</w:t>
            </w:r>
          </w:p>
        </w:tc>
        <w:tc>
          <w:tcPr>
            <w:tcW w:w="531" w:type="dxa"/>
            <w:tcBorders>
              <w:tl2br w:val="nil"/>
              <w:tr2bl w:val="nil"/>
            </w:tcBorders>
            <w:noWrap w:val="0"/>
            <w:vAlign w:val="center"/>
          </w:tcPr>
          <w:p w14:paraId="39DA3D20">
            <w:pPr>
              <w:pStyle w:val="34"/>
              <w:bidi w:val="0"/>
              <w:rPr>
                <w:rFonts w:hint="default"/>
                <w:color w:val="auto"/>
              </w:rPr>
            </w:pPr>
            <w:r>
              <w:rPr>
                <w:rFonts w:hint="default"/>
                <w:color w:val="auto"/>
                <w:lang w:val="en-US" w:eastAsia="zh-CN"/>
              </w:rPr>
              <w:t>0.4</w:t>
            </w:r>
          </w:p>
        </w:tc>
        <w:tc>
          <w:tcPr>
            <w:tcW w:w="576" w:type="dxa"/>
            <w:tcBorders>
              <w:tl2br w:val="nil"/>
              <w:tr2bl w:val="nil"/>
            </w:tcBorders>
            <w:noWrap w:val="0"/>
            <w:vAlign w:val="center"/>
          </w:tcPr>
          <w:p w14:paraId="2A97435D">
            <w:pPr>
              <w:pStyle w:val="34"/>
              <w:bidi w:val="0"/>
              <w:rPr>
                <w:rFonts w:hint="default"/>
                <w:color w:val="auto"/>
              </w:rPr>
            </w:pPr>
          </w:p>
        </w:tc>
        <w:tc>
          <w:tcPr>
            <w:tcW w:w="531" w:type="dxa"/>
            <w:tcBorders>
              <w:tl2br w:val="nil"/>
              <w:tr2bl w:val="nil"/>
            </w:tcBorders>
            <w:noWrap w:val="0"/>
            <w:vAlign w:val="center"/>
          </w:tcPr>
          <w:p w14:paraId="7C1362BC">
            <w:pPr>
              <w:pStyle w:val="34"/>
              <w:bidi w:val="0"/>
              <w:rPr>
                <w:rFonts w:hint="default"/>
                <w:color w:val="auto"/>
              </w:rPr>
            </w:pPr>
            <w:r>
              <w:rPr>
                <w:rFonts w:hint="default"/>
                <w:color w:val="auto"/>
                <w:lang w:val="en-US" w:eastAsia="zh-CN"/>
              </w:rPr>
              <w:t>0.4</w:t>
            </w:r>
          </w:p>
        </w:tc>
        <w:tc>
          <w:tcPr>
            <w:tcW w:w="576" w:type="dxa"/>
            <w:tcBorders>
              <w:tl2br w:val="nil"/>
              <w:tr2bl w:val="nil"/>
            </w:tcBorders>
            <w:noWrap w:val="0"/>
            <w:vAlign w:val="center"/>
          </w:tcPr>
          <w:p w14:paraId="72A6D882">
            <w:pPr>
              <w:pStyle w:val="34"/>
              <w:bidi w:val="0"/>
              <w:rPr>
                <w:rFonts w:hint="default"/>
                <w:color w:val="auto"/>
              </w:rPr>
            </w:pPr>
          </w:p>
        </w:tc>
        <w:tc>
          <w:tcPr>
            <w:tcW w:w="408" w:type="pct"/>
            <w:vMerge w:val="continue"/>
            <w:tcBorders>
              <w:tl2br w:val="nil"/>
              <w:tr2bl w:val="nil"/>
            </w:tcBorders>
            <w:noWrap w:val="0"/>
            <w:vAlign w:val="center"/>
          </w:tcPr>
          <w:p w14:paraId="0263DAB7">
            <w:pPr>
              <w:pStyle w:val="34"/>
              <w:bidi w:val="0"/>
              <w:rPr>
                <w:rFonts w:hint="default"/>
                <w:color w:val="auto"/>
                <w:highlight w:val="none"/>
              </w:rPr>
            </w:pPr>
          </w:p>
        </w:tc>
        <w:tc>
          <w:tcPr>
            <w:tcW w:w="418" w:type="pct"/>
            <w:vMerge w:val="continue"/>
            <w:tcBorders>
              <w:tl2br w:val="nil"/>
              <w:tr2bl w:val="nil"/>
            </w:tcBorders>
            <w:noWrap w:val="0"/>
            <w:vAlign w:val="center"/>
          </w:tcPr>
          <w:p w14:paraId="720240FE">
            <w:pPr>
              <w:pStyle w:val="34"/>
              <w:bidi w:val="0"/>
              <w:rPr>
                <w:rFonts w:hint="default"/>
                <w:color w:val="auto"/>
                <w:highlight w:val="none"/>
              </w:rPr>
            </w:pPr>
          </w:p>
        </w:tc>
      </w:tr>
    </w:tbl>
    <w:p w14:paraId="561243DF">
      <w:pPr>
        <w:ind w:firstLine="480"/>
        <w:rPr>
          <w:rFonts w:eastAsia="仿宋_GB2312"/>
          <w:color w:val="auto"/>
          <w:szCs w:val="21"/>
          <w:highlight w:val="none"/>
        </w:rPr>
      </w:pPr>
      <w:r>
        <w:rPr>
          <w:rFonts w:eastAsia="仿宋_GB2312"/>
          <w:color w:val="auto"/>
          <w:szCs w:val="21"/>
          <w:highlight w:val="none"/>
        </w:rPr>
        <w:t>注：1、表中土石方均为自然方；2、各行均可按“挖方+外借=填方+弃方”进行校核。</w:t>
      </w:r>
    </w:p>
    <w:p w14:paraId="368C84B2">
      <w:pPr>
        <w:ind w:firstLine="482"/>
        <w:jc w:val="center"/>
        <w:rPr>
          <w:rFonts w:eastAsia="仿宋_GB2312"/>
          <w:b/>
          <w:color w:val="auto"/>
          <w:highlight w:val="yellow"/>
        </w:rPr>
        <w:sectPr>
          <w:headerReference r:id="rId11" w:type="default"/>
          <w:footerReference r:id="rId12" w:type="default"/>
          <w:pgSz w:w="11906" w:h="16838"/>
          <w:pgMar w:top="1418" w:right="1588" w:bottom="1418" w:left="1588" w:header="851" w:footer="992" w:gutter="0"/>
          <w:pgBorders>
            <w:top w:val="none" w:sz="0" w:space="0"/>
            <w:left w:val="none" w:sz="0" w:space="0"/>
            <w:bottom w:val="none" w:sz="0" w:space="0"/>
            <w:right w:val="none" w:sz="0" w:space="0"/>
          </w:pgBorders>
          <w:cols w:space="720" w:num="1"/>
          <w:docGrid w:linePitch="312" w:charSpace="0"/>
        </w:sectPr>
      </w:pPr>
    </w:p>
    <w:p w14:paraId="7AE86FCB">
      <w:pPr>
        <w:pStyle w:val="3"/>
        <w:rPr>
          <w:color w:val="auto"/>
        </w:rPr>
      </w:pPr>
      <w:bookmarkStart w:id="73" w:name="_Toc13215"/>
      <w:r>
        <w:rPr>
          <w:rFonts w:hint="eastAsia"/>
          <w:color w:val="auto"/>
        </w:rPr>
        <w:t>2.5拆迁（移民）安置与专项设施改（迁）建</w:t>
      </w:r>
      <w:bookmarkEnd w:id="73"/>
    </w:p>
    <w:p w14:paraId="5BBE325A">
      <w:pPr>
        <w:ind w:firstLine="480"/>
        <w:rPr>
          <w:color w:val="auto"/>
        </w:rPr>
      </w:pPr>
      <w:r>
        <w:rPr>
          <w:color w:val="auto"/>
        </w:rPr>
        <w:t>本工程</w:t>
      </w:r>
      <w:r>
        <w:rPr>
          <w:rFonts w:hint="eastAsia"/>
          <w:color w:val="auto"/>
        </w:rPr>
        <w:t>不涉及</w:t>
      </w:r>
      <w:r>
        <w:rPr>
          <w:color w:val="auto"/>
        </w:rPr>
        <w:t>拆迁</w:t>
      </w:r>
      <w:r>
        <w:rPr>
          <w:rFonts w:hint="eastAsia"/>
          <w:color w:val="auto"/>
        </w:rPr>
        <w:t>（移民）</w:t>
      </w:r>
      <w:r>
        <w:rPr>
          <w:color w:val="auto"/>
        </w:rPr>
        <w:t>安置与专项设施改（迁）建。</w:t>
      </w:r>
    </w:p>
    <w:p w14:paraId="5B2FF31C">
      <w:pPr>
        <w:pStyle w:val="3"/>
        <w:bidi w:val="0"/>
        <w:rPr>
          <w:color w:val="auto"/>
        </w:rPr>
      </w:pPr>
      <w:bookmarkStart w:id="74" w:name="_Toc19819"/>
      <w:r>
        <w:rPr>
          <w:rFonts w:hint="eastAsia"/>
          <w:color w:val="auto"/>
        </w:rPr>
        <w:t>2.6施工进度</w:t>
      </w:r>
      <w:bookmarkEnd w:id="74"/>
    </w:p>
    <w:p w14:paraId="6C850068">
      <w:pPr>
        <w:ind w:firstLine="480"/>
        <w:rPr>
          <w:color w:val="auto"/>
        </w:rPr>
      </w:pPr>
      <w:r>
        <w:rPr>
          <w:rFonts w:hint="eastAsia"/>
          <w:color w:val="auto"/>
        </w:rPr>
        <w:t>本项目</w:t>
      </w:r>
      <w:r>
        <w:rPr>
          <w:rFonts w:hint="eastAsia"/>
          <w:color w:val="auto"/>
          <w:lang w:val="en-US" w:eastAsia="zh-CN"/>
        </w:rPr>
        <w:t>预计</w:t>
      </w:r>
      <w:r>
        <w:rPr>
          <w:rFonts w:hint="eastAsia"/>
          <w:color w:val="auto"/>
        </w:rPr>
        <w:t>20</w:t>
      </w:r>
      <w:r>
        <w:rPr>
          <w:rFonts w:hint="eastAsia"/>
          <w:color w:val="auto"/>
          <w:lang w:val="en-US" w:eastAsia="zh-CN"/>
        </w:rPr>
        <w:t>25</w:t>
      </w:r>
      <w:r>
        <w:rPr>
          <w:rFonts w:hint="eastAsia"/>
          <w:color w:val="auto"/>
        </w:rPr>
        <w:t>年</w:t>
      </w:r>
      <w:r>
        <w:rPr>
          <w:rFonts w:hint="eastAsia"/>
          <w:color w:val="auto"/>
          <w:lang w:val="en-US" w:eastAsia="zh-CN"/>
        </w:rPr>
        <w:t>1</w:t>
      </w:r>
      <w:r>
        <w:rPr>
          <w:rFonts w:hint="eastAsia"/>
          <w:color w:val="auto"/>
        </w:rPr>
        <w:t>月开工建设，</w:t>
      </w:r>
      <w:r>
        <w:rPr>
          <w:rFonts w:hint="eastAsia"/>
          <w:color w:val="auto"/>
          <w:lang w:val="en-US" w:eastAsia="zh-CN"/>
        </w:rPr>
        <w:t>预计</w:t>
      </w:r>
      <w:r>
        <w:rPr>
          <w:rFonts w:hint="eastAsia"/>
          <w:color w:val="auto"/>
        </w:rPr>
        <w:t>20</w:t>
      </w:r>
      <w:r>
        <w:rPr>
          <w:rFonts w:hint="eastAsia"/>
          <w:color w:val="auto"/>
          <w:lang w:val="en-US" w:eastAsia="zh-CN"/>
        </w:rPr>
        <w:t>25</w:t>
      </w:r>
      <w:r>
        <w:rPr>
          <w:rFonts w:hint="eastAsia"/>
          <w:color w:val="auto"/>
        </w:rPr>
        <w:t>年</w:t>
      </w:r>
      <w:r>
        <w:rPr>
          <w:rFonts w:hint="eastAsia"/>
          <w:color w:val="auto"/>
          <w:lang w:val="en-US" w:eastAsia="zh-CN"/>
        </w:rPr>
        <w:t>6</w:t>
      </w:r>
      <w:r>
        <w:rPr>
          <w:rFonts w:hint="eastAsia"/>
          <w:color w:val="auto"/>
        </w:rPr>
        <w:t>月完工，总工期</w:t>
      </w:r>
      <w:r>
        <w:rPr>
          <w:rFonts w:hint="eastAsia"/>
          <w:color w:val="auto"/>
          <w:lang w:val="en-US" w:eastAsia="zh-CN"/>
        </w:rPr>
        <w:t>6</w:t>
      </w:r>
      <w:r>
        <w:rPr>
          <w:rFonts w:hint="eastAsia"/>
          <w:color w:val="auto"/>
        </w:rPr>
        <w:t>个月。项目建设进度分别为</w:t>
      </w:r>
      <w:r>
        <w:rPr>
          <w:rFonts w:hint="eastAsia"/>
          <w:color w:val="auto"/>
          <w:lang w:eastAsia="zh-CN"/>
        </w:rPr>
        <w:t>基础开挖、</w:t>
      </w:r>
      <w:r>
        <w:rPr>
          <w:rFonts w:hint="eastAsia"/>
          <w:color w:val="auto"/>
        </w:rPr>
        <w:t>建构筑物工程、和</w:t>
      </w:r>
      <w:r>
        <w:rPr>
          <w:rFonts w:hint="eastAsia"/>
          <w:color w:val="auto"/>
          <w:lang w:val="en-US" w:eastAsia="zh-CN"/>
        </w:rPr>
        <w:t>竣工验收</w:t>
      </w:r>
      <w:r>
        <w:rPr>
          <w:rFonts w:hint="eastAsia"/>
          <w:color w:val="auto"/>
        </w:rPr>
        <w:t>等。</w:t>
      </w:r>
    </w:p>
    <w:p w14:paraId="28D1E6C5">
      <w:pPr>
        <w:pStyle w:val="35"/>
        <w:rPr>
          <w:color w:val="auto"/>
        </w:rPr>
      </w:pPr>
      <w:r>
        <w:rPr>
          <w:rFonts w:hint="eastAsia"/>
          <w:color w:val="auto"/>
        </w:rPr>
        <w:t>表</w:t>
      </w:r>
      <w:r>
        <w:rPr>
          <w:rFonts w:hint="eastAsia"/>
          <w:color w:val="auto"/>
          <w:lang w:val="en-US" w:eastAsia="zh-CN"/>
        </w:rPr>
        <w:t>2.6-1</w:t>
      </w:r>
      <w:r>
        <w:rPr>
          <w:rFonts w:hint="eastAsia"/>
          <w:color w:val="auto"/>
        </w:rPr>
        <w:t>施工进度安排表</w:t>
      </w:r>
    </w:p>
    <w:tbl>
      <w:tblPr>
        <w:tblStyle w:val="25"/>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050"/>
        <w:gridCol w:w="1186"/>
        <w:gridCol w:w="923"/>
        <w:gridCol w:w="780"/>
        <w:gridCol w:w="780"/>
        <w:gridCol w:w="780"/>
        <w:gridCol w:w="782"/>
      </w:tblGrid>
      <w:tr w14:paraId="4F194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2182" w:type="pct"/>
            <w:vMerge w:val="restart"/>
            <w:tcBorders>
              <w:tl2br w:val="single" w:color="auto" w:sz="4" w:space="0"/>
            </w:tcBorders>
            <w:shd w:val="clear" w:color="auto" w:fill="auto"/>
            <w:vAlign w:val="center"/>
          </w:tcPr>
          <w:p w14:paraId="7441DE58">
            <w:pPr>
              <w:widowControl/>
              <w:spacing w:line="240" w:lineRule="auto"/>
              <w:ind w:firstLine="0" w:firstLineChars="0"/>
              <w:jc w:val="center"/>
              <w:rPr>
                <w:color w:val="auto"/>
                <w:kern w:val="0"/>
                <w:sz w:val="18"/>
                <w:szCs w:val="18"/>
              </w:rPr>
            </w:pPr>
            <w:r>
              <w:rPr>
                <w:rFonts w:hint="eastAsia"/>
                <w:color w:val="auto"/>
                <w:kern w:val="0"/>
                <w:sz w:val="18"/>
                <w:szCs w:val="18"/>
              </w:rPr>
              <w:t xml:space="preserve">     </w:t>
            </w:r>
            <w:r>
              <w:rPr>
                <w:rFonts w:hint="eastAsia"/>
                <w:color w:val="auto"/>
                <w:kern w:val="0"/>
                <w:sz w:val="18"/>
                <w:szCs w:val="18"/>
                <w:lang w:val="en-US" w:eastAsia="zh-CN"/>
              </w:rPr>
              <w:t xml:space="preserve">   </w:t>
            </w:r>
            <w:r>
              <w:rPr>
                <w:rFonts w:hint="eastAsia"/>
                <w:color w:val="auto"/>
                <w:kern w:val="0"/>
                <w:sz w:val="18"/>
                <w:szCs w:val="18"/>
              </w:rPr>
              <w:t xml:space="preserve"> 时间</w:t>
            </w:r>
          </w:p>
          <w:p w14:paraId="40FD4D98">
            <w:pPr>
              <w:widowControl/>
              <w:spacing w:line="240" w:lineRule="auto"/>
              <w:ind w:firstLine="0" w:firstLineChars="0"/>
              <w:rPr>
                <w:color w:val="auto"/>
                <w:kern w:val="0"/>
                <w:sz w:val="18"/>
                <w:szCs w:val="18"/>
              </w:rPr>
            </w:pPr>
            <w:r>
              <w:rPr>
                <w:rFonts w:hint="eastAsia"/>
                <w:color w:val="auto"/>
                <w:kern w:val="0"/>
                <w:sz w:val="18"/>
                <w:szCs w:val="18"/>
              </w:rPr>
              <w:t>项目</w:t>
            </w:r>
          </w:p>
        </w:tc>
        <w:tc>
          <w:tcPr>
            <w:tcW w:w="2817" w:type="pct"/>
            <w:gridSpan w:val="6"/>
            <w:shd w:val="clear" w:color="auto" w:fill="auto"/>
            <w:vAlign w:val="center"/>
          </w:tcPr>
          <w:p w14:paraId="348C14A1">
            <w:pPr>
              <w:widowControl/>
              <w:spacing w:line="240" w:lineRule="auto"/>
              <w:ind w:firstLine="0" w:firstLineChars="0"/>
              <w:jc w:val="center"/>
              <w:rPr>
                <w:rFonts w:hint="eastAsia"/>
                <w:color w:val="auto"/>
                <w:kern w:val="0"/>
                <w:sz w:val="18"/>
                <w:szCs w:val="18"/>
                <w:lang w:val="en-US" w:eastAsia="zh-CN"/>
              </w:rPr>
            </w:pPr>
            <w:r>
              <w:rPr>
                <w:rFonts w:hint="eastAsia"/>
                <w:color w:val="auto"/>
                <w:kern w:val="0"/>
                <w:sz w:val="18"/>
                <w:szCs w:val="18"/>
                <w:lang w:val="en-US" w:eastAsia="zh-CN"/>
              </w:rPr>
              <w:t>2025年</w:t>
            </w:r>
          </w:p>
        </w:tc>
      </w:tr>
      <w:tr w14:paraId="6C18DA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2182" w:type="pct"/>
            <w:vMerge w:val="continue"/>
            <w:tcBorders>
              <w:tl2br w:val="single" w:color="auto" w:sz="4" w:space="0"/>
            </w:tcBorders>
            <w:shd w:val="clear" w:color="auto" w:fill="auto"/>
            <w:vAlign w:val="center"/>
          </w:tcPr>
          <w:p w14:paraId="66D6E6EB">
            <w:pPr>
              <w:widowControl/>
              <w:spacing w:line="240" w:lineRule="auto"/>
              <w:ind w:firstLine="0" w:firstLineChars="0"/>
              <w:jc w:val="center"/>
              <w:rPr>
                <w:color w:val="auto"/>
              </w:rPr>
            </w:pPr>
          </w:p>
        </w:tc>
        <w:tc>
          <w:tcPr>
            <w:tcW w:w="639" w:type="pct"/>
            <w:shd w:val="clear" w:color="auto" w:fill="auto"/>
            <w:vAlign w:val="center"/>
          </w:tcPr>
          <w:p w14:paraId="7F942906">
            <w:pPr>
              <w:widowControl/>
              <w:spacing w:line="240" w:lineRule="auto"/>
              <w:ind w:firstLine="0" w:firstLineChars="0"/>
              <w:jc w:val="center"/>
              <w:rPr>
                <w:rFonts w:hint="default" w:eastAsia="仿宋_GB2312"/>
                <w:color w:val="auto"/>
                <w:sz w:val="18"/>
                <w:szCs w:val="18"/>
                <w:lang w:val="en-US" w:eastAsia="zh-CN"/>
              </w:rPr>
            </w:pPr>
            <w:r>
              <w:rPr>
                <w:rFonts w:hint="eastAsia"/>
                <w:color w:val="auto"/>
                <w:sz w:val="18"/>
                <w:szCs w:val="18"/>
                <w:lang w:val="en-US" w:eastAsia="zh-CN"/>
              </w:rPr>
              <w:t>1</w:t>
            </w:r>
          </w:p>
        </w:tc>
        <w:tc>
          <w:tcPr>
            <w:tcW w:w="497" w:type="pct"/>
            <w:shd w:val="clear" w:color="auto" w:fill="auto"/>
            <w:vAlign w:val="center"/>
          </w:tcPr>
          <w:p w14:paraId="41FCE125">
            <w:pPr>
              <w:widowControl/>
              <w:spacing w:line="240" w:lineRule="auto"/>
              <w:ind w:firstLine="0" w:firstLineChars="0"/>
              <w:jc w:val="center"/>
              <w:rPr>
                <w:rFonts w:hint="default" w:eastAsia="仿宋_GB2312"/>
                <w:color w:val="auto"/>
                <w:sz w:val="18"/>
                <w:szCs w:val="18"/>
                <w:lang w:val="en-US" w:eastAsia="zh-CN"/>
              </w:rPr>
            </w:pPr>
            <w:r>
              <w:rPr>
                <w:rFonts w:hint="eastAsia"/>
                <w:color w:val="auto"/>
                <w:sz w:val="18"/>
                <w:szCs w:val="18"/>
                <w:lang w:val="en-US" w:eastAsia="zh-CN"/>
              </w:rPr>
              <w:t>2</w:t>
            </w:r>
          </w:p>
        </w:tc>
        <w:tc>
          <w:tcPr>
            <w:tcW w:w="420" w:type="pct"/>
            <w:shd w:val="clear" w:color="auto" w:fill="auto"/>
            <w:vAlign w:val="center"/>
          </w:tcPr>
          <w:p w14:paraId="0E702E3B">
            <w:pPr>
              <w:widowControl/>
              <w:spacing w:line="240" w:lineRule="auto"/>
              <w:ind w:firstLine="0" w:firstLineChars="0"/>
              <w:jc w:val="center"/>
              <w:rPr>
                <w:rFonts w:hint="default" w:eastAsia="仿宋_GB2312"/>
                <w:color w:val="auto"/>
                <w:sz w:val="18"/>
                <w:szCs w:val="18"/>
                <w:lang w:val="en-US" w:eastAsia="zh-CN"/>
              </w:rPr>
            </w:pPr>
            <w:r>
              <w:rPr>
                <w:rFonts w:hint="eastAsia"/>
                <w:color w:val="auto"/>
                <w:sz w:val="18"/>
                <w:szCs w:val="18"/>
                <w:lang w:val="en-US" w:eastAsia="zh-CN"/>
              </w:rPr>
              <w:t>3</w:t>
            </w:r>
          </w:p>
        </w:tc>
        <w:tc>
          <w:tcPr>
            <w:tcW w:w="420" w:type="pct"/>
            <w:shd w:val="clear" w:color="auto" w:fill="auto"/>
            <w:vAlign w:val="center"/>
          </w:tcPr>
          <w:p w14:paraId="158835EC">
            <w:pPr>
              <w:widowControl/>
              <w:spacing w:line="240" w:lineRule="auto"/>
              <w:ind w:firstLine="0" w:firstLineChars="0"/>
              <w:jc w:val="center"/>
              <w:rPr>
                <w:rFonts w:hint="default" w:ascii="Times New Roman" w:hAnsi="Times New Roman" w:eastAsia="仿宋_GB2312" w:cstheme="minorBidi"/>
                <w:color w:val="auto"/>
                <w:kern w:val="0"/>
                <w:sz w:val="18"/>
                <w:szCs w:val="18"/>
                <w:lang w:val="en-US" w:eastAsia="zh-CN" w:bidi="ar-SA"/>
              </w:rPr>
            </w:pPr>
            <w:r>
              <w:rPr>
                <w:rFonts w:hint="eastAsia" w:cstheme="minorBidi"/>
                <w:color w:val="auto"/>
                <w:kern w:val="0"/>
                <w:sz w:val="18"/>
                <w:szCs w:val="18"/>
                <w:lang w:val="en-US" w:eastAsia="zh-CN" w:bidi="ar-SA"/>
              </w:rPr>
              <w:t>4</w:t>
            </w:r>
          </w:p>
        </w:tc>
        <w:tc>
          <w:tcPr>
            <w:tcW w:w="420" w:type="pct"/>
            <w:shd w:val="clear" w:color="auto" w:fill="auto"/>
            <w:vAlign w:val="center"/>
          </w:tcPr>
          <w:p w14:paraId="3ACFE76B">
            <w:pPr>
              <w:widowControl/>
              <w:spacing w:line="240" w:lineRule="auto"/>
              <w:ind w:firstLine="0" w:firstLineChars="0"/>
              <w:jc w:val="center"/>
              <w:rPr>
                <w:rFonts w:hint="default" w:ascii="Times New Roman" w:hAnsi="Times New Roman" w:cstheme="minorBidi"/>
                <w:color w:val="auto"/>
                <w:kern w:val="0"/>
                <w:sz w:val="18"/>
                <w:szCs w:val="18"/>
                <w:lang w:val="en-US" w:eastAsia="zh-CN" w:bidi="ar-SA"/>
              </w:rPr>
            </w:pPr>
            <w:r>
              <w:rPr>
                <w:rFonts w:hint="eastAsia" w:cstheme="minorBidi"/>
                <w:color w:val="auto"/>
                <w:kern w:val="0"/>
                <w:sz w:val="18"/>
                <w:szCs w:val="18"/>
                <w:lang w:val="en-US" w:eastAsia="zh-CN" w:bidi="ar-SA"/>
              </w:rPr>
              <w:t>5</w:t>
            </w:r>
          </w:p>
        </w:tc>
        <w:tc>
          <w:tcPr>
            <w:tcW w:w="420" w:type="pct"/>
            <w:shd w:val="clear" w:color="auto" w:fill="auto"/>
            <w:vAlign w:val="center"/>
          </w:tcPr>
          <w:p w14:paraId="345F2479">
            <w:pPr>
              <w:widowControl/>
              <w:spacing w:line="240" w:lineRule="auto"/>
              <w:ind w:firstLine="0" w:firstLineChars="0"/>
              <w:jc w:val="center"/>
              <w:rPr>
                <w:rFonts w:hint="default" w:ascii="Times New Roman" w:hAnsi="Times New Roman" w:cstheme="minorBidi"/>
                <w:color w:val="auto"/>
                <w:kern w:val="0"/>
                <w:sz w:val="18"/>
                <w:szCs w:val="18"/>
                <w:lang w:val="en-US" w:eastAsia="zh-CN" w:bidi="ar-SA"/>
              </w:rPr>
            </w:pPr>
            <w:r>
              <w:rPr>
                <w:rFonts w:hint="eastAsia" w:cstheme="minorBidi"/>
                <w:color w:val="auto"/>
                <w:kern w:val="0"/>
                <w:sz w:val="18"/>
                <w:szCs w:val="18"/>
                <w:lang w:val="en-US" w:eastAsia="zh-CN" w:bidi="ar-SA"/>
              </w:rPr>
              <w:t>6</w:t>
            </w:r>
          </w:p>
        </w:tc>
      </w:tr>
      <w:tr w14:paraId="5B9CD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jc w:val="center"/>
        </w:trPr>
        <w:tc>
          <w:tcPr>
            <w:tcW w:w="2182" w:type="pct"/>
            <w:shd w:val="clear" w:color="auto" w:fill="auto"/>
            <w:vAlign w:val="center"/>
          </w:tcPr>
          <w:p w14:paraId="44E886DB">
            <w:pPr>
              <w:widowControl/>
              <w:spacing w:line="240" w:lineRule="auto"/>
              <w:ind w:firstLine="0" w:firstLineChars="0"/>
              <w:jc w:val="center"/>
              <w:rPr>
                <w:color w:val="auto"/>
                <w:kern w:val="0"/>
                <w:sz w:val="18"/>
                <w:szCs w:val="18"/>
              </w:rPr>
            </w:pPr>
            <w:r>
              <w:rPr>
                <w:rFonts w:hint="eastAsia"/>
                <w:color w:val="auto"/>
                <w:kern w:val="0"/>
                <w:sz w:val="18"/>
                <w:szCs w:val="18"/>
              </w:rPr>
              <w:t>前期准备工作</w:t>
            </w:r>
          </w:p>
        </w:tc>
        <w:tc>
          <w:tcPr>
            <w:tcW w:w="639" w:type="pct"/>
            <w:shd w:val="clear" w:color="auto" w:fill="auto"/>
            <w:vAlign w:val="center"/>
          </w:tcPr>
          <w:p w14:paraId="43FAA14F">
            <w:pPr>
              <w:widowControl/>
              <w:spacing w:line="240" w:lineRule="auto"/>
              <w:ind w:firstLine="0" w:firstLineChars="0"/>
              <w:jc w:val="center"/>
              <w:rPr>
                <w:color w:val="auto"/>
                <w:kern w:val="0"/>
                <w:sz w:val="18"/>
                <w:szCs w:val="18"/>
              </w:rPr>
            </w:pPr>
            <w:r>
              <w:rPr>
                <w:color w:val="auto"/>
                <w:sz w:val="18"/>
              </w:rPr>
              <mc:AlternateContent>
                <mc:Choice Requires="wps">
                  <w:drawing>
                    <wp:anchor distT="0" distB="0" distL="114300" distR="114300" simplePos="0" relativeHeight="251665408" behindDoc="0" locked="0" layoutInCell="1" allowOverlap="1">
                      <wp:simplePos x="0" y="0"/>
                      <wp:positionH relativeFrom="column">
                        <wp:posOffset>-51435</wp:posOffset>
                      </wp:positionH>
                      <wp:positionV relativeFrom="paragraph">
                        <wp:posOffset>124460</wp:posOffset>
                      </wp:positionV>
                      <wp:extent cx="107950" cy="0"/>
                      <wp:effectExtent l="0" t="9525" r="6350" b="9525"/>
                      <wp:wrapNone/>
                      <wp:docPr id="4" name="直接连接符 4"/>
                      <wp:cNvGraphicFramePr/>
                      <a:graphic xmlns:a="http://schemas.openxmlformats.org/drawingml/2006/main">
                        <a:graphicData uri="http://schemas.microsoft.com/office/word/2010/wordprocessingShape">
                          <wps:wsp>
                            <wps:cNvCnPr/>
                            <wps:spPr>
                              <a:xfrm>
                                <a:off x="2232660" y="3762375"/>
                                <a:ext cx="10795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_x0000_s1026" o:spid="_x0000_s1026" o:spt="20" style="position:absolute;left:0pt;margin-left:-4.05pt;margin-top:9.8pt;height:0pt;width:8.5pt;z-index:251665408;mso-width-relative:page;mso-height-relative:page;" filled="f" stroked="t" coordsize="21600,21600" o:gfxdata="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JefNt9MAAAAGAQAADwAAAAAAAAABACAAAAAiAAAAZHJzL2Rvd25yZXYueG1sUEsBAhQAFAAAAAgA&#10;h07iQGtel+fxAQAAvQMAAA4AAAAAAAAAAQAgAAAAIgEAAGRycy9lMm9Eb2MueG1sUEsFBgAAAAAG&#10;AAYAWQEAAIUFAAAAAA==&#10;">
                      <v:fill on="f" focussize="0,0"/>
                      <v:stroke weight="1.5pt" color="#000000 [3200]" miterlimit="8" joinstyle="miter"/>
                      <v:imagedata o:title=""/>
                      <o:lock v:ext="edit" aspectratio="f"/>
                    </v:line>
                  </w:pict>
                </mc:Fallback>
              </mc:AlternateContent>
            </w:r>
          </w:p>
        </w:tc>
        <w:tc>
          <w:tcPr>
            <w:tcW w:w="497" w:type="pct"/>
            <w:shd w:val="clear" w:color="auto" w:fill="auto"/>
            <w:vAlign w:val="center"/>
          </w:tcPr>
          <w:p w14:paraId="1CD84792">
            <w:pPr>
              <w:widowControl/>
              <w:spacing w:line="240" w:lineRule="auto"/>
              <w:ind w:firstLine="0" w:firstLineChars="0"/>
              <w:jc w:val="center"/>
              <w:rPr>
                <w:rFonts w:ascii="Times New Roman" w:hAnsi="Times New Roman" w:eastAsia="仿宋_GB2312" w:cstheme="minorBidi"/>
                <w:color w:val="auto"/>
                <w:kern w:val="0"/>
                <w:sz w:val="18"/>
                <w:szCs w:val="18"/>
                <w:lang w:val="en-US" w:eastAsia="zh-CN" w:bidi="ar-SA"/>
              </w:rPr>
            </w:pPr>
          </w:p>
        </w:tc>
        <w:tc>
          <w:tcPr>
            <w:tcW w:w="420" w:type="pct"/>
            <w:shd w:val="clear" w:color="auto" w:fill="auto"/>
            <w:vAlign w:val="center"/>
          </w:tcPr>
          <w:p w14:paraId="5A354AD7">
            <w:pPr>
              <w:widowControl/>
              <w:spacing w:line="240" w:lineRule="auto"/>
              <w:ind w:firstLine="0" w:firstLineChars="0"/>
              <w:jc w:val="center"/>
              <w:rPr>
                <w:color w:val="auto"/>
                <w:kern w:val="0"/>
                <w:sz w:val="18"/>
                <w:szCs w:val="18"/>
              </w:rPr>
            </w:pPr>
          </w:p>
        </w:tc>
        <w:tc>
          <w:tcPr>
            <w:tcW w:w="420" w:type="pct"/>
            <w:shd w:val="clear" w:color="auto" w:fill="auto"/>
            <w:vAlign w:val="center"/>
          </w:tcPr>
          <w:p w14:paraId="5042039C">
            <w:pPr>
              <w:widowControl/>
              <w:spacing w:line="240" w:lineRule="auto"/>
              <w:ind w:firstLine="0" w:firstLineChars="0"/>
              <w:jc w:val="center"/>
              <w:rPr>
                <w:color w:val="auto"/>
                <w:kern w:val="0"/>
                <w:sz w:val="18"/>
                <w:szCs w:val="18"/>
              </w:rPr>
            </w:pPr>
          </w:p>
        </w:tc>
        <w:tc>
          <w:tcPr>
            <w:tcW w:w="420" w:type="pct"/>
            <w:shd w:val="clear" w:color="auto" w:fill="auto"/>
            <w:vAlign w:val="center"/>
          </w:tcPr>
          <w:p w14:paraId="4407321B">
            <w:pPr>
              <w:widowControl/>
              <w:spacing w:line="240" w:lineRule="auto"/>
              <w:ind w:firstLine="0" w:firstLineChars="0"/>
              <w:jc w:val="center"/>
              <w:rPr>
                <w:color w:val="auto"/>
                <w:kern w:val="0"/>
                <w:sz w:val="18"/>
                <w:szCs w:val="18"/>
              </w:rPr>
            </w:pPr>
          </w:p>
        </w:tc>
        <w:tc>
          <w:tcPr>
            <w:tcW w:w="420" w:type="pct"/>
            <w:shd w:val="clear" w:color="auto" w:fill="auto"/>
            <w:vAlign w:val="center"/>
          </w:tcPr>
          <w:p w14:paraId="525D7A47">
            <w:pPr>
              <w:widowControl/>
              <w:spacing w:line="240" w:lineRule="auto"/>
              <w:ind w:firstLine="0" w:firstLineChars="0"/>
              <w:jc w:val="center"/>
              <w:rPr>
                <w:color w:val="auto"/>
                <w:kern w:val="0"/>
                <w:sz w:val="18"/>
                <w:szCs w:val="18"/>
              </w:rPr>
            </w:pPr>
          </w:p>
        </w:tc>
      </w:tr>
      <w:tr w14:paraId="3BE66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 w:hRule="atLeast"/>
          <w:jc w:val="center"/>
        </w:trPr>
        <w:tc>
          <w:tcPr>
            <w:tcW w:w="2182" w:type="pct"/>
            <w:shd w:val="clear" w:color="auto" w:fill="auto"/>
            <w:vAlign w:val="center"/>
          </w:tcPr>
          <w:p w14:paraId="7B5E06E5">
            <w:pPr>
              <w:widowControl/>
              <w:spacing w:line="240" w:lineRule="auto"/>
              <w:ind w:firstLine="0" w:firstLineChars="0"/>
              <w:jc w:val="center"/>
              <w:rPr>
                <w:rFonts w:hint="eastAsia" w:eastAsia="仿宋_GB2312"/>
                <w:color w:val="auto"/>
                <w:kern w:val="0"/>
                <w:sz w:val="18"/>
                <w:szCs w:val="18"/>
                <w:lang w:val="en-US" w:eastAsia="zh-CN"/>
              </w:rPr>
            </w:pPr>
            <w:r>
              <w:rPr>
                <w:rFonts w:hint="eastAsia"/>
                <w:color w:val="auto"/>
                <w:kern w:val="0"/>
                <w:sz w:val="18"/>
                <w:szCs w:val="18"/>
                <w:lang w:val="en-US" w:eastAsia="zh-CN"/>
              </w:rPr>
              <w:t>基础开挖工程</w:t>
            </w:r>
          </w:p>
        </w:tc>
        <w:tc>
          <w:tcPr>
            <w:tcW w:w="639" w:type="pct"/>
            <w:shd w:val="clear" w:color="auto" w:fill="auto"/>
            <w:vAlign w:val="center"/>
          </w:tcPr>
          <w:p w14:paraId="321B29B4">
            <w:pPr>
              <w:widowControl/>
              <w:spacing w:line="240" w:lineRule="auto"/>
              <w:ind w:firstLine="0" w:firstLineChars="0"/>
              <w:jc w:val="center"/>
              <w:rPr>
                <w:color w:val="auto"/>
                <w:kern w:val="0"/>
                <w:sz w:val="18"/>
                <w:szCs w:val="18"/>
              </w:rPr>
            </w:pPr>
          </w:p>
        </w:tc>
        <w:tc>
          <w:tcPr>
            <w:tcW w:w="497" w:type="pct"/>
            <w:shd w:val="clear" w:color="auto" w:fill="auto"/>
            <w:vAlign w:val="center"/>
          </w:tcPr>
          <w:p w14:paraId="14603B34">
            <w:pPr>
              <w:widowControl/>
              <w:spacing w:line="240" w:lineRule="auto"/>
              <w:ind w:firstLine="0" w:firstLineChars="0"/>
              <w:jc w:val="center"/>
              <w:rPr>
                <w:color w:val="auto"/>
                <w:kern w:val="0"/>
                <w:sz w:val="18"/>
                <w:szCs w:val="18"/>
              </w:rPr>
            </w:pPr>
            <w:r>
              <w:rPr>
                <w:color w:val="auto"/>
                <w:sz w:val="18"/>
              </w:rPr>
              <mc:AlternateContent>
                <mc:Choice Requires="wps">
                  <w:drawing>
                    <wp:anchor distT="0" distB="0" distL="114300" distR="114300" simplePos="0" relativeHeight="251659264" behindDoc="0" locked="0" layoutInCell="1" allowOverlap="1">
                      <wp:simplePos x="0" y="0"/>
                      <wp:positionH relativeFrom="column">
                        <wp:posOffset>110490</wp:posOffset>
                      </wp:positionH>
                      <wp:positionV relativeFrom="paragraph">
                        <wp:posOffset>109220</wp:posOffset>
                      </wp:positionV>
                      <wp:extent cx="539750" cy="0"/>
                      <wp:effectExtent l="0" t="9525" r="12700" b="9525"/>
                      <wp:wrapNone/>
                      <wp:docPr id="58" name="直接连接符 58"/>
                      <wp:cNvGraphicFramePr/>
                      <a:graphic xmlns:a="http://schemas.openxmlformats.org/drawingml/2006/main">
                        <a:graphicData uri="http://schemas.microsoft.com/office/word/2010/wordprocessingShape">
                          <wps:wsp>
                            <wps:cNvCnPr/>
                            <wps:spPr>
                              <a:xfrm>
                                <a:off x="0" y="0"/>
                                <a:ext cx="53975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_x0000_s1026" o:spid="_x0000_s1026" o:spt="20" style="position:absolute;left:0pt;margin-left:8.7pt;margin-top:8.6pt;height:0pt;width:42.5pt;z-index:251659264;mso-width-relative:page;mso-height-relative:page;" filled="f" stroked="t" coordsize="21600,21600" o:gfxdata="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NeXJ9LUAAAACAEAAA8A&#10;AAAAAAAAAQAgAAAAIgAAAGRycy9kb3ducmV2LnhtbFBLAQIUABQAAAAIAIdO4kAh59JI4gEAALMD&#10;AAAOAAAAAAAAAAEAIAAAACMBAABkcnMvZTJvRG9jLnhtbFBLBQYAAAAABgAGAFkBAAB3BQAAAAA=&#10;">
                      <v:fill on="f" focussize="0,0"/>
                      <v:stroke weight="1.5pt" color="#000000 [3200]" miterlimit="8" joinstyle="miter"/>
                      <v:imagedata o:title=""/>
                      <o:lock v:ext="edit" aspectratio="f"/>
                    </v:line>
                  </w:pict>
                </mc:Fallback>
              </mc:AlternateContent>
            </w:r>
          </w:p>
        </w:tc>
        <w:tc>
          <w:tcPr>
            <w:tcW w:w="420" w:type="pct"/>
            <w:shd w:val="clear" w:color="auto" w:fill="auto"/>
            <w:vAlign w:val="center"/>
          </w:tcPr>
          <w:p w14:paraId="397CBF19">
            <w:pPr>
              <w:widowControl/>
              <w:spacing w:line="240" w:lineRule="auto"/>
              <w:ind w:firstLine="0" w:firstLineChars="0"/>
              <w:jc w:val="center"/>
              <w:rPr>
                <w:color w:val="auto"/>
                <w:kern w:val="0"/>
                <w:sz w:val="18"/>
                <w:szCs w:val="18"/>
              </w:rPr>
            </w:pPr>
          </w:p>
        </w:tc>
        <w:tc>
          <w:tcPr>
            <w:tcW w:w="420" w:type="pct"/>
            <w:shd w:val="clear" w:color="auto" w:fill="auto"/>
            <w:vAlign w:val="center"/>
          </w:tcPr>
          <w:p w14:paraId="36F43CF8">
            <w:pPr>
              <w:widowControl/>
              <w:spacing w:line="240" w:lineRule="auto"/>
              <w:ind w:firstLine="0" w:firstLineChars="0"/>
              <w:jc w:val="center"/>
              <w:rPr>
                <w:color w:val="auto"/>
                <w:kern w:val="0"/>
                <w:sz w:val="18"/>
                <w:szCs w:val="18"/>
              </w:rPr>
            </w:pPr>
          </w:p>
        </w:tc>
        <w:tc>
          <w:tcPr>
            <w:tcW w:w="420" w:type="pct"/>
            <w:shd w:val="clear" w:color="auto" w:fill="auto"/>
            <w:vAlign w:val="center"/>
          </w:tcPr>
          <w:p w14:paraId="3E0713E5">
            <w:pPr>
              <w:widowControl/>
              <w:spacing w:line="240" w:lineRule="auto"/>
              <w:ind w:firstLine="0" w:firstLineChars="0"/>
              <w:jc w:val="center"/>
              <w:rPr>
                <w:color w:val="auto"/>
                <w:kern w:val="0"/>
                <w:sz w:val="18"/>
                <w:szCs w:val="18"/>
              </w:rPr>
            </w:pPr>
          </w:p>
        </w:tc>
        <w:tc>
          <w:tcPr>
            <w:tcW w:w="420" w:type="pct"/>
            <w:shd w:val="clear" w:color="auto" w:fill="auto"/>
            <w:vAlign w:val="center"/>
          </w:tcPr>
          <w:p w14:paraId="58993BC9">
            <w:pPr>
              <w:widowControl/>
              <w:spacing w:line="240" w:lineRule="auto"/>
              <w:ind w:firstLine="0" w:firstLineChars="0"/>
              <w:jc w:val="center"/>
              <w:rPr>
                <w:color w:val="auto"/>
                <w:kern w:val="0"/>
                <w:sz w:val="18"/>
                <w:szCs w:val="18"/>
              </w:rPr>
            </w:pPr>
          </w:p>
        </w:tc>
      </w:tr>
      <w:tr w14:paraId="7861AB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2182" w:type="pct"/>
            <w:shd w:val="clear" w:color="auto" w:fill="auto"/>
            <w:vAlign w:val="center"/>
          </w:tcPr>
          <w:p w14:paraId="4588D34A">
            <w:pPr>
              <w:widowControl/>
              <w:spacing w:line="240" w:lineRule="auto"/>
              <w:ind w:firstLine="0" w:firstLineChars="0"/>
              <w:jc w:val="center"/>
              <w:rPr>
                <w:color w:val="auto"/>
                <w:kern w:val="0"/>
                <w:sz w:val="18"/>
                <w:szCs w:val="18"/>
              </w:rPr>
            </w:pPr>
            <w:r>
              <w:rPr>
                <w:rFonts w:hint="eastAsia"/>
                <w:color w:val="auto"/>
                <w:kern w:val="0"/>
                <w:sz w:val="18"/>
                <w:szCs w:val="18"/>
              </w:rPr>
              <w:t>建构筑物工程</w:t>
            </w:r>
          </w:p>
        </w:tc>
        <w:tc>
          <w:tcPr>
            <w:tcW w:w="639" w:type="pct"/>
            <w:shd w:val="clear" w:color="auto" w:fill="auto"/>
            <w:vAlign w:val="center"/>
          </w:tcPr>
          <w:p w14:paraId="09ACB9AE">
            <w:pPr>
              <w:widowControl/>
              <w:spacing w:line="240" w:lineRule="auto"/>
              <w:ind w:firstLine="0" w:firstLineChars="0"/>
              <w:jc w:val="center"/>
              <w:rPr>
                <w:color w:val="auto"/>
                <w:kern w:val="0"/>
                <w:sz w:val="18"/>
                <w:szCs w:val="18"/>
              </w:rPr>
            </w:pPr>
            <w:r>
              <w:rPr>
                <w:color w:val="auto"/>
                <w:sz w:val="18"/>
              </w:rPr>
              <mc:AlternateContent>
                <mc:Choice Requires="wps">
                  <w:drawing>
                    <wp:anchor distT="0" distB="0" distL="114300" distR="114300" simplePos="0" relativeHeight="251659264" behindDoc="0" locked="0" layoutInCell="1" allowOverlap="1">
                      <wp:simplePos x="0" y="0"/>
                      <wp:positionH relativeFrom="column">
                        <wp:posOffset>1096645</wp:posOffset>
                      </wp:positionH>
                      <wp:positionV relativeFrom="paragraph">
                        <wp:posOffset>102235</wp:posOffset>
                      </wp:positionV>
                      <wp:extent cx="1974850" cy="12700"/>
                      <wp:effectExtent l="0" t="0" r="0" b="0"/>
                      <wp:wrapNone/>
                      <wp:docPr id="66" name="直接连接符 66"/>
                      <wp:cNvGraphicFramePr/>
                      <a:graphic xmlns:a="http://schemas.openxmlformats.org/drawingml/2006/main">
                        <a:graphicData uri="http://schemas.microsoft.com/office/word/2010/wordprocessingShape">
                          <wps:wsp>
                            <wps:cNvCnPr/>
                            <wps:spPr>
                              <a:xfrm flipV="1">
                                <a:off x="0" y="0"/>
                                <a:ext cx="1974850" cy="1270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_x0000_s1026" o:spid="_x0000_s1026" o:spt="20" style="position:absolute;left:0pt;flip:y;margin-left:86.35pt;margin-top:8.05pt;height:1pt;width:155.5pt;z-index:251659264;mso-width-relative:page;mso-height-relative:page;" filled="f" stroked="t" coordsize="21600,21600" o:gfxdata="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f+84YNYAAAAJAQAADwAAAAAAAAABACAAAAAiAAAAZHJzL2Rvd25yZXYueG1sUEsBAhQAFAAAAAgA&#10;h07iQMFFGAruAQAAwgMAAA4AAAAAAAAAAQAgAAAAJQEAAGRycy9lMm9Eb2MueG1sUEsFBgAAAAAG&#10;AAYAWQEAAIUFAAAAAA==&#10;">
                      <v:fill on="f" focussize="0,0"/>
                      <v:stroke weight="1.5pt" color="#000000 [3200]" miterlimit="8" joinstyle="miter"/>
                      <v:imagedata o:title=""/>
                      <o:lock v:ext="edit" aspectratio="f"/>
                    </v:line>
                  </w:pict>
                </mc:Fallback>
              </mc:AlternateContent>
            </w:r>
          </w:p>
        </w:tc>
        <w:tc>
          <w:tcPr>
            <w:tcW w:w="497" w:type="pct"/>
            <w:shd w:val="clear" w:color="auto" w:fill="auto"/>
            <w:vAlign w:val="center"/>
          </w:tcPr>
          <w:p w14:paraId="57C76F67">
            <w:pPr>
              <w:widowControl/>
              <w:spacing w:line="240" w:lineRule="auto"/>
              <w:ind w:firstLine="0" w:firstLineChars="0"/>
              <w:jc w:val="center"/>
              <w:rPr>
                <w:color w:val="auto"/>
                <w:kern w:val="0"/>
                <w:sz w:val="18"/>
                <w:szCs w:val="18"/>
              </w:rPr>
            </w:pPr>
          </w:p>
        </w:tc>
        <w:tc>
          <w:tcPr>
            <w:tcW w:w="420" w:type="pct"/>
            <w:shd w:val="clear" w:color="auto" w:fill="auto"/>
            <w:vAlign w:val="center"/>
          </w:tcPr>
          <w:p w14:paraId="550CDA57">
            <w:pPr>
              <w:widowControl/>
              <w:spacing w:line="240" w:lineRule="auto"/>
              <w:ind w:firstLine="0" w:firstLineChars="0"/>
              <w:jc w:val="center"/>
              <w:rPr>
                <w:color w:val="auto"/>
                <w:kern w:val="0"/>
                <w:sz w:val="18"/>
                <w:szCs w:val="18"/>
              </w:rPr>
            </w:pPr>
          </w:p>
        </w:tc>
        <w:tc>
          <w:tcPr>
            <w:tcW w:w="420" w:type="pct"/>
            <w:shd w:val="clear" w:color="auto" w:fill="auto"/>
            <w:vAlign w:val="center"/>
          </w:tcPr>
          <w:p w14:paraId="7334E597">
            <w:pPr>
              <w:widowControl/>
              <w:spacing w:line="240" w:lineRule="auto"/>
              <w:ind w:firstLine="0" w:firstLineChars="0"/>
              <w:jc w:val="center"/>
              <w:rPr>
                <w:color w:val="auto"/>
                <w:kern w:val="0"/>
                <w:sz w:val="18"/>
                <w:szCs w:val="18"/>
              </w:rPr>
            </w:pPr>
          </w:p>
        </w:tc>
        <w:tc>
          <w:tcPr>
            <w:tcW w:w="420" w:type="pct"/>
            <w:shd w:val="clear" w:color="auto" w:fill="auto"/>
            <w:vAlign w:val="center"/>
          </w:tcPr>
          <w:p w14:paraId="2E066449">
            <w:pPr>
              <w:widowControl/>
              <w:spacing w:line="240" w:lineRule="auto"/>
              <w:ind w:firstLine="0" w:firstLineChars="0"/>
              <w:jc w:val="center"/>
              <w:rPr>
                <w:color w:val="auto"/>
                <w:kern w:val="0"/>
                <w:sz w:val="18"/>
                <w:szCs w:val="18"/>
              </w:rPr>
            </w:pPr>
          </w:p>
        </w:tc>
        <w:tc>
          <w:tcPr>
            <w:tcW w:w="420" w:type="pct"/>
            <w:shd w:val="clear" w:color="auto" w:fill="auto"/>
            <w:vAlign w:val="center"/>
          </w:tcPr>
          <w:p w14:paraId="40506AB5">
            <w:pPr>
              <w:widowControl/>
              <w:spacing w:line="240" w:lineRule="auto"/>
              <w:ind w:firstLine="0" w:firstLineChars="0"/>
              <w:jc w:val="center"/>
              <w:rPr>
                <w:color w:val="auto"/>
                <w:kern w:val="0"/>
                <w:sz w:val="18"/>
                <w:szCs w:val="18"/>
              </w:rPr>
            </w:pPr>
          </w:p>
        </w:tc>
      </w:tr>
      <w:tr w14:paraId="1DAB6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 w:hRule="atLeast"/>
          <w:jc w:val="center"/>
        </w:trPr>
        <w:tc>
          <w:tcPr>
            <w:tcW w:w="2182" w:type="pct"/>
            <w:shd w:val="clear" w:color="auto" w:fill="auto"/>
            <w:vAlign w:val="center"/>
          </w:tcPr>
          <w:p w14:paraId="19965D3B">
            <w:pPr>
              <w:widowControl/>
              <w:spacing w:line="240" w:lineRule="auto"/>
              <w:ind w:firstLine="0" w:firstLineChars="0"/>
              <w:jc w:val="center"/>
              <w:rPr>
                <w:rFonts w:hint="default" w:eastAsia="仿宋_GB2312"/>
                <w:color w:val="auto"/>
                <w:kern w:val="0"/>
                <w:sz w:val="18"/>
                <w:szCs w:val="18"/>
                <w:lang w:val="en-US" w:eastAsia="zh-CN"/>
              </w:rPr>
            </w:pPr>
            <w:r>
              <w:rPr>
                <w:rFonts w:hint="eastAsia"/>
                <w:color w:val="auto"/>
                <w:kern w:val="0"/>
                <w:sz w:val="18"/>
                <w:szCs w:val="18"/>
                <w:lang w:val="en-US" w:eastAsia="zh-CN"/>
              </w:rPr>
              <w:t>竣工验收</w:t>
            </w:r>
          </w:p>
        </w:tc>
        <w:tc>
          <w:tcPr>
            <w:tcW w:w="639" w:type="pct"/>
            <w:shd w:val="clear" w:color="auto" w:fill="auto"/>
            <w:vAlign w:val="center"/>
          </w:tcPr>
          <w:p w14:paraId="1C8469F7">
            <w:pPr>
              <w:widowControl/>
              <w:spacing w:line="240" w:lineRule="auto"/>
              <w:ind w:firstLine="0" w:firstLineChars="0"/>
              <w:jc w:val="center"/>
              <w:rPr>
                <w:color w:val="auto"/>
                <w:kern w:val="0"/>
                <w:sz w:val="18"/>
                <w:szCs w:val="18"/>
              </w:rPr>
            </w:pPr>
          </w:p>
        </w:tc>
        <w:tc>
          <w:tcPr>
            <w:tcW w:w="497" w:type="pct"/>
            <w:shd w:val="clear" w:color="auto" w:fill="auto"/>
            <w:vAlign w:val="center"/>
          </w:tcPr>
          <w:p w14:paraId="729FC2FB">
            <w:pPr>
              <w:widowControl/>
              <w:spacing w:line="240" w:lineRule="auto"/>
              <w:ind w:firstLine="0" w:firstLineChars="0"/>
              <w:jc w:val="center"/>
              <w:rPr>
                <w:color w:val="auto"/>
                <w:kern w:val="0"/>
                <w:sz w:val="18"/>
                <w:szCs w:val="18"/>
              </w:rPr>
            </w:pPr>
          </w:p>
        </w:tc>
        <w:tc>
          <w:tcPr>
            <w:tcW w:w="420" w:type="pct"/>
            <w:shd w:val="clear" w:color="auto" w:fill="auto"/>
            <w:vAlign w:val="center"/>
          </w:tcPr>
          <w:p w14:paraId="65EB36FF">
            <w:pPr>
              <w:widowControl/>
              <w:spacing w:line="240" w:lineRule="auto"/>
              <w:ind w:firstLine="0" w:firstLineChars="0"/>
              <w:jc w:val="center"/>
              <w:rPr>
                <w:color w:val="auto"/>
                <w:sz w:val="18"/>
              </w:rPr>
            </w:pPr>
          </w:p>
        </w:tc>
        <w:tc>
          <w:tcPr>
            <w:tcW w:w="420" w:type="pct"/>
            <w:shd w:val="clear" w:color="auto" w:fill="auto"/>
            <w:vAlign w:val="center"/>
          </w:tcPr>
          <w:p w14:paraId="2289CBDA">
            <w:pPr>
              <w:widowControl/>
              <w:spacing w:line="240" w:lineRule="auto"/>
              <w:ind w:firstLine="0" w:firstLineChars="0"/>
              <w:jc w:val="center"/>
              <w:rPr>
                <w:color w:val="auto"/>
                <w:sz w:val="18"/>
              </w:rPr>
            </w:pPr>
          </w:p>
        </w:tc>
        <w:tc>
          <w:tcPr>
            <w:tcW w:w="420" w:type="pct"/>
            <w:shd w:val="clear" w:color="auto" w:fill="auto"/>
            <w:vAlign w:val="center"/>
          </w:tcPr>
          <w:p w14:paraId="5B896B94">
            <w:pPr>
              <w:widowControl/>
              <w:spacing w:line="240" w:lineRule="auto"/>
              <w:ind w:firstLine="0" w:firstLineChars="0"/>
              <w:jc w:val="center"/>
              <w:rPr>
                <w:color w:val="auto"/>
                <w:sz w:val="18"/>
              </w:rPr>
            </w:pPr>
          </w:p>
        </w:tc>
        <w:tc>
          <w:tcPr>
            <w:tcW w:w="420" w:type="pct"/>
            <w:shd w:val="clear" w:color="auto" w:fill="auto"/>
            <w:vAlign w:val="center"/>
          </w:tcPr>
          <w:p w14:paraId="00E1BC0C">
            <w:pPr>
              <w:widowControl/>
              <w:spacing w:line="240" w:lineRule="auto"/>
              <w:ind w:firstLine="0" w:firstLineChars="0"/>
              <w:jc w:val="center"/>
              <w:rPr>
                <w:color w:val="auto"/>
                <w:sz w:val="18"/>
              </w:rPr>
            </w:pPr>
            <w:r>
              <w:rPr>
                <w:color w:val="auto"/>
                <w:sz w:val="18"/>
              </w:rPr>
              <mc:AlternateContent>
                <mc:Choice Requires="wps">
                  <w:drawing>
                    <wp:anchor distT="0" distB="0" distL="114300" distR="114300" simplePos="0" relativeHeight="251668480" behindDoc="0" locked="0" layoutInCell="1" allowOverlap="1">
                      <wp:simplePos x="0" y="0"/>
                      <wp:positionH relativeFrom="column">
                        <wp:posOffset>316865</wp:posOffset>
                      </wp:positionH>
                      <wp:positionV relativeFrom="paragraph">
                        <wp:posOffset>120650</wp:posOffset>
                      </wp:positionV>
                      <wp:extent cx="107950" cy="0"/>
                      <wp:effectExtent l="0" t="9525" r="6350" b="9525"/>
                      <wp:wrapNone/>
                      <wp:docPr id="10" name="直接连接符 10"/>
                      <wp:cNvGraphicFramePr/>
                      <a:graphic xmlns:a="http://schemas.openxmlformats.org/drawingml/2006/main">
                        <a:graphicData uri="http://schemas.microsoft.com/office/word/2010/wordprocessingShape">
                          <wps:wsp>
                            <wps:cNvCnPr/>
                            <wps:spPr>
                              <a:xfrm>
                                <a:off x="0" y="0"/>
                                <a:ext cx="10795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anchor>
                  </w:drawing>
                </mc:Choice>
                <mc:Fallback>
                  <w:pict>
                    <v:line id="_x0000_s1026" o:spid="_x0000_s1026" o:spt="20" style="position:absolute;left:0pt;margin-left:24.95pt;margin-top:9.5pt;height:0pt;width:8.5pt;z-index:251668480;mso-width-relative:page;mso-height-relative:page;" filled="f" stroked="t" coordsize="21600,21600" o:gfxdata="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Akr6UXVAAAABwEAAA8A&#10;AAAAAAAAAQAgAAAAIgAAAGRycy9kb3ducmV2LnhtbFBLAQIUABQAAAAIAIdO4kAO5vSh4QEAALMD&#10;AAAOAAAAAAAAAAEAIAAAACQBAABkcnMvZTJvRG9jLnhtbFBLBQYAAAAABgAGAFkBAAB3BQAAAAA=&#10;">
                      <v:fill on="f" focussize="0,0"/>
                      <v:stroke weight="1.5pt" color="#000000 [3200]" miterlimit="8" joinstyle="miter"/>
                      <v:imagedata o:title=""/>
                      <o:lock v:ext="edit" aspectratio="f"/>
                    </v:line>
                  </w:pict>
                </mc:Fallback>
              </mc:AlternateContent>
            </w:r>
          </w:p>
        </w:tc>
      </w:tr>
    </w:tbl>
    <w:p w14:paraId="487C44A1">
      <w:pPr>
        <w:pStyle w:val="3"/>
        <w:rPr>
          <w:rFonts w:hint="eastAsia"/>
          <w:color w:val="auto"/>
        </w:rPr>
      </w:pPr>
      <w:bookmarkStart w:id="75" w:name="_Toc15623"/>
      <w:r>
        <w:rPr>
          <w:rFonts w:hint="eastAsia"/>
          <w:color w:val="auto"/>
        </w:rPr>
        <w:t>2.7自然概况</w:t>
      </w:r>
      <w:bookmarkEnd w:id="75"/>
    </w:p>
    <w:p w14:paraId="447C60B0">
      <w:pPr>
        <w:pStyle w:val="5"/>
        <w:rPr>
          <w:rFonts w:hint="eastAsia" w:eastAsia="仿宋_GB2312"/>
          <w:color w:val="auto"/>
          <w:lang w:eastAsia="zh-CN"/>
        </w:rPr>
      </w:pPr>
      <w:r>
        <w:rPr>
          <w:rFonts w:hint="eastAsia"/>
          <w:color w:val="auto"/>
        </w:rPr>
        <w:t>2.7.</w:t>
      </w:r>
      <w:r>
        <w:rPr>
          <w:rFonts w:hint="eastAsia"/>
          <w:color w:val="auto"/>
          <w:lang w:val="en-US" w:eastAsia="zh-CN"/>
        </w:rPr>
        <w:t>1</w:t>
      </w:r>
      <w:r>
        <w:rPr>
          <w:rFonts w:hint="eastAsia"/>
          <w:color w:val="auto"/>
        </w:rPr>
        <w:t>地形地貌</w:t>
      </w:r>
    </w:p>
    <w:p w14:paraId="537E3F76">
      <w:pPr>
        <w:bidi w:val="0"/>
        <w:rPr>
          <w:rFonts w:hint="eastAsia"/>
        </w:rPr>
      </w:pPr>
      <w:r>
        <w:rPr>
          <w:rFonts w:hint="eastAsia"/>
        </w:rPr>
        <w:t>雅安市域属四川盆地西缘山地，跨四川盆地和青藏高原两大地形区，为盆地到青藏高原的过渡地带，地势北、西、南三面较高，中、东部低，最高点为西南缘石棉、康定、九龙三县交界的神仙梁子，主峰海拔5793米，最低点在草坝青衣江出境处，海拔515.97米。市境山脉纵横，地表崎岖，地貌类型复杂多样，山地多，丘陵平坝少。丘陵平坝多分布于河谷两侧，仅占市域面积的6%，低山(500～1000米）在中部雨城区和名山区一带，占市域面积的4%。以中山(1500</w:t>
      </w:r>
      <w:r>
        <w:rPr>
          <w:rFonts w:hint="default"/>
        </w:rPr>
        <w:t>～</w:t>
      </w:r>
      <w:r>
        <w:rPr>
          <w:rFonts w:hint="eastAsia"/>
        </w:rPr>
        <w:t>3500米)分布最广，约占总用地的60%以上。高山(3500</w:t>
      </w:r>
      <w:r>
        <w:rPr>
          <w:rFonts w:hint="default"/>
        </w:rPr>
        <w:t>～</w:t>
      </w:r>
      <w:r>
        <w:rPr>
          <w:rFonts w:hint="eastAsia"/>
        </w:rPr>
        <w:t>5000米）占全市总面积的6%，多分布于宝兴县、天全县西北部和石棉县西南部及芦山县北端，相对高差1000</w:t>
      </w:r>
      <w:r>
        <w:rPr>
          <w:rFonts w:hint="default"/>
        </w:rPr>
        <w:t>～</w:t>
      </w:r>
      <w:r>
        <w:rPr>
          <w:rFonts w:hint="eastAsia"/>
        </w:rPr>
        <w:t>2000米。境内主要山地均属邛崃山脉和大雪山脉，东南缘主要为南北向的小相岭北段。大相岭既是大渡河、青衣江的主要分水岭，为市域自然地理的重要分界线。</w:t>
      </w:r>
    </w:p>
    <w:p w14:paraId="665A241F">
      <w:pPr>
        <w:bidi w:val="0"/>
        <w:rPr>
          <w:rFonts w:hint="default"/>
          <w:color w:val="auto"/>
          <w:lang w:val="en-US" w:eastAsia="zh-CN"/>
        </w:rPr>
      </w:pPr>
      <w:r>
        <w:rPr>
          <w:rFonts w:hint="default"/>
          <w:color w:val="auto"/>
          <w:lang w:eastAsia="zh-CN"/>
        </w:rPr>
        <w:t>拟建场地位于位于雅安市雨城区雨城区草坝镇永兴大道中段699号四川巨宏新材料有限责任公司厂区内</w:t>
      </w:r>
      <w:r>
        <w:rPr>
          <w:rFonts w:hint="eastAsia"/>
          <w:color w:val="auto"/>
          <w:lang w:eastAsia="zh-CN"/>
        </w:rPr>
        <w:t>，</w:t>
      </w:r>
      <w:r>
        <w:rPr>
          <w:rFonts w:hint="default"/>
          <w:color w:val="auto"/>
          <w:lang w:eastAsia="zh-CN"/>
        </w:rPr>
        <w:t>交通便利</w:t>
      </w:r>
      <w:r>
        <w:rPr>
          <w:rFonts w:hint="eastAsia"/>
          <w:color w:val="auto"/>
          <w:lang w:eastAsia="zh-CN"/>
        </w:rPr>
        <w:t>，</w:t>
      </w:r>
      <w:r>
        <w:rPr>
          <w:rFonts w:hint="eastAsia"/>
          <w:color w:val="auto"/>
          <w:highlight w:val="none"/>
          <w:lang w:val="en-US" w:eastAsia="zh-CN"/>
        </w:rPr>
        <w:t>高程为562.47</w:t>
      </w:r>
      <w:r>
        <w:rPr>
          <w:rFonts w:hint="default"/>
          <w:color w:val="auto"/>
          <w:highlight w:val="none"/>
          <w:lang w:eastAsia="zh-CN"/>
        </w:rPr>
        <w:t>～</w:t>
      </w:r>
      <w:r>
        <w:rPr>
          <w:rFonts w:hint="eastAsia"/>
          <w:color w:val="auto"/>
          <w:highlight w:val="none"/>
          <w:lang w:val="en-US" w:eastAsia="zh-CN"/>
        </w:rPr>
        <w:t>563.20</w:t>
      </w:r>
      <w:r>
        <w:rPr>
          <w:rFonts w:hint="default"/>
          <w:color w:val="auto"/>
          <w:highlight w:val="none"/>
          <w:lang w:val="en-US" w:eastAsia="zh-CN"/>
        </w:rPr>
        <w:t>m，高差约</w:t>
      </w:r>
      <w:r>
        <w:rPr>
          <w:rFonts w:hint="eastAsia"/>
          <w:color w:val="auto"/>
          <w:highlight w:val="none"/>
          <w:lang w:val="en-US" w:eastAsia="zh-CN"/>
        </w:rPr>
        <w:t>0.73</w:t>
      </w:r>
      <w:r>
        <w:rPr>
          <w:rFonts w:hint="default"/>
          <w:color w:val="auto"/>
          <w:highlight w:val="none"/>
          <w:lang w:val="en-US" w:eastAsia="zh-CN"/>
        </w:rPr>
        <w:t>m。</w:t>
      </w:r>
    </w:p>
    <w:p w14:paraId="0F25F4BF">
      <w:pPr>
        <w:pStyle w:val="5"/>
        <w:bidi w:val="0"/>
        <w:rPr>
          <w:color w:val="auto"/>
        </w:rPr>
      </w:pPr>
      <w:r>
        <w:rPr>
          <w:rFonts w:ascii="Times New Roman" w:hAnsi="Times New Roman" w:eastAsia="Times New Roman" w:cs="Times New Roman"/>
          <w:b/>
          <w:bCs/>
          <w:color w:val="auto"/>
          <w:spacing w:val="-2"/>
        </w:rPr>
        <w:t xml:space="preserve">2.7.2 </w:t>
      </w:r>
      <w:r>
        <w:rPr>
          <w:b/>
          <w:bCs/>
          <w:color w:val="auto"/>
          <w:spacing w:val="-2"/>
        </w:rPr>
        <w:t>地质、地层岩性、地震</w:t>
      </w:r>
    </w:p>
    <w:p w14:paraId="565CD344">
      <w:pPr>
        <w:bidi w:val="0"/>
        <w:rPr>
          <w:color w:val="auto"/>
          <w:sz w:val="24"/>
          <w:szCs w:val="24"/>
        </w:rPr>
      </w:pPr>
      <w:r>
        <w:rPr>
          <w:rFonts w:ascii="Times New Roman" w:hAnsi="Times New Roman" w:eastAsia="Times New Roman" w:cs="Times New Roman"/>
          <w:b/>
          <w:bCs/>
          <w:color w:val="auto"/>
          <w:spacing w:val="-12"/>
          <w:sz w:val="24"/>
          <w:szCs w:val="24"/>
        </w:rPr>
        <w:t>1</w:t>
      </w:r>
      <w:r>
        <w:rPr>
          <w:b/>
          <w:bCs/>
          <w:color w:val="auto"/>
          <w:spacing w:val="-12"/>
          <w:sz w:val="24"/>
          <w:szCs w:val="24"/>
        </w:rPr>
        <w:t>、地质</w:t>
      </w:r>
    </w:p>
    <w:p w14:paraId="5C41B5FA">
      <w:pPr>
        <w:bidi w:val="0"/>
        <w:rPr>
          <w:rFonts w:hint="eastAsia"/>
          <w:color w:val="auto"/>
          <w:lang w:eastAsia="zh-CN"/>
        </w:rPr>
      </w:pPr>
      <w:r>
        <w:rPr>
          <w:rFonts w:hint="eastAsia"/>
          <w:color w:val="auto"/>
          <w:lang w:eastAsia="zh-CN"/>
        </w:rPr>
        <w:t>雅安在地质构造上处于天台山一一籍江雁行带、成都凹陷和熊坡—一盐井沟雁行带结合部。县境西北边缘为蒙顶山背斜。地层向东南倾斜50°左右。东南边缘为总岗山背斜的一部分，地层向西北倾斜60°左右，并有一较大逆断层。西南角为地层倾斜30°左右的金鸡关背斜。西部为名山向斜，呈南北走向，核部平坦开阔，两冀倾斜25°左右。中部和东北部为成都凹陷南端，系一西南高，东北低，开口朝北的“撮箕”形，地层多呈水平分布。此外，在东南部尚有三个小背斜和两个小向斜。我县地形三面环山，中部和东北部坪岗交错，溪谷纷呈，整个地形犹如“U”字，为川西南台状丘陵地区之一。县境最高点为蒙顶山颠，海拔1440米，最低点为红岩乡的小河子，海拔557米，全县相对高差883米，地貌类型以台状丘陵和缓丘平坝为主，仅在县境边缘有低山分布。沿名山河、延镇河、百丈河沿岸一、二级阶地，属缓丘平坝，海拔650米以下，占幅员面积的22.1%。蒙顶山、莲花山、总岗山一带属低山地貌，海拔850米以上，占幅员面积的13.7%。其余大部地区均为台状丘陵地貌，可分出一至五级阶地，海拔650～860米，占幅员面积的64.2%。其中，城南、前进、车岭、红星等地为低丘坪岗、冲沟多为中谷和宽谷，650～700米，占幅员面积的82.9%，新店、红光、中峰、解放等地为中丘坪岗，冲沟多为中谷，海拔700～800米，占幅员面积约27.8%；城东、万古等地为高丘坪岗，冲沟多为窄谷，海拔700～850米，占幅员面积的3.5%。</w:t>
      </w:r>
    </w:p>
    <w:p w14:paraId="248E6FF2">
      <w:pPr>
        <w:bidi w:val="0"/>
        <w:rPr>
          <w:b/>
          <w:bCs/>
          <w:color w:val="auto"/>
        </w:rPr>
      </w:pPr>
      <w:r>
        <w:rPr>
          <w:b/>
          <w:bCs/>
          <w:color w:val="auto"/>
        </w:rPr>
        <w:t>2、地层岩性</w:t>
      </w:r>
    </w:p>
    <w:p w14:paraId="5B79C6C9">
      <w:pPr>
        <w:spacing w:line="360" w:lineRule="auto"/>
        <w:ind w:firstLine="480" w:firstLineChars="200"/>
        <w:rPr>
          <w:rFonts w:hint="eastAsia" w:ascii="宋体" w:hAnsi="宋体" w:cs="宋体"/>
          <w:sz w:val="28"/>
          <w:szCs w:val="28"/>
        </w:rPr>
      </w:pPr>
      <w:r>
        <w:rPr>
          <w:rFonts w:hint="eastAsia"/>
        </w:rPr>
        <w:t>（1）杂填土</w:t>
      </w:r>
    </w:p>
    <w:p w14:paraId="1CE98B06">
      <w:pPr>
        <w:bidi w:val="0"/>
        <w:rPr>
          <w:rFonts w:hint="eastAsia"/>
        </w:rPr>
      </w:pPr>
      <w:r>
        <w:rPr>
          <w:rFonts w:hint="eastAsia"/>
        </w:rPr>
        <w:t>场地内杂填土结构松散，物质组成不均，均匀性差，未完成自重固结，力学性质差，不能作为基础持力层，且应分层压实处理，避免后期产生不均匀沉降，造成道路及地坪开裂，另外杂填土成桩过程中极易垮塌，桩基施工时应采取护壁措施。</w:t>
      </w:r>
    </w:p>
    <w:p w14:paraId="3B5C3C36">
      <w:pPr>
        <w:bidi w:val="0"/>
        <w:rPr>
          <w:rFonts w:hint="eastAsia"/>
        </w:rPr>
      </w:pPr>
      <w:r>
        <w:rPr>
          <w:rFonts w:hint="eastAsia"/>
        </w:rPr>
        <w:t>（2）</w:t>
      </w:r>
      <w:r>
        <w:rPr>
          <w:rFonts w:hint="eastAsia"/>
          <w:lang w:val="en-US" w:eastAsia="zh-CN"/>
        </w:rPr>
        <w:t>软塑粉质粘</w:t>
      </w:r>
      <w:r>
        <w:rPr>
          <w:rFonts w:hint="eastAsia"/>
        </w:rPr>
        <w:t>土</w:t>
      </w:r>
    </w:p>
    <w:p w14:paraId="20C98CBF">
      <w:pPr>
        <w:bidi w:val="0"/>
      </w:pPr>
      <w:bookmarkStart w:id="76" w:name="_Toc88069750"/>
      <w:bookmarkStart w:id="77" w:name="_Toc88559762"/>
      <w:bookmarkStart w:id="78" w:name="_Toc25368"/>
      <w:bookmarkStart w:id="79" w:name="_Toc31906"/>
      <w:bookmarkStart w:id="80" w:name="_Toc88559442"/>
      <w:bookmarkStart w:id="81" w:name="_Toc28365"/>
      <w:r>
        <w:rPr>
          <w:rFonts w:hint="eastAsia"/>
        </w:rPr>
        <w:t>根据土工试验成果</w:t>
      </w:r>
      <w:bookmarkStart w:id="82" w:name="_Toc21493"/>
      <w:r>
        <w:rPr>
          <w:rFonts w:hint="eastAsia"/>
          <w:lang w:val="en-US" w:eastAsia="zh-CN"/>
        </w:rPr>
        <w:t>并结合地层分布情况，</w:t>
      </w:r>
      <w:r>
        <w:t>场地内广泛分布</w:t>
      </w:r>
      <w:r>
        <w:rPr>
          <w:rFonts w:hint="eastAsia"/>
          <w:lang w:val="en-US" w:eastAsia="zh-CN"/>
        </w:rPr>
        <w:t>软塑粉质粘</w:t>
      </w:r>
      <w:r>
        <w:rPr>
          <w:rFonts w:hint="eastAsia"/>
        </w:rPr>
        <w:t>土</w:t>
      </w:r>
      <w:r>
        <w:t>，雨季施工地基软化对基础施工影响大，对基坑支护安全影响明显，对场地管线、总平、景观等影响较大。</w:t>
      </w:r>
      <w:bookmarkEnd w:id="76"/>
      <w:bookmarkEnd w:id="77"/>
      <w:bookmarkEnd w:id="78"/>
      <w:bookmarkEnd w:id="79"/>
      <w:bookmarkEnd w:id="80"/>
      <w:bookmarkEnd w:id="81"/>
      <w:bookmarkEnd w:id="82"/>
      <w:bookmarkStart w:id="83" w:name="_Toc88559763"/>
      <w:bookmarkStart w:id="84" w:name="_Toc88559443"/>
      <w:bookmarkStart w:id="85" w:name="_Toc26552"/>
      <w:bookmarkStart w:id="86" w:name="_Toc6011"/>
      <w:bookmarkStart w:id="87" w:name="_Toc13457"/>
      <w:bookmarkStart w:id="88" w:name="_Toc28354"/>
      <w:bookmarkStart w:id="89" w:name="_Toc88069751"/>
      <w:r>
        <w:rPr>
          <w:rFonts w:hint="eastAsia"/>
          <w:lang w:eastAsia="zh-CN"/>
        </w:rPr>
        <w:t>该</w:t>
      </w:r>
      <w:r>
        <w:rPr>
          <w:rFonts w:hint="eastAsia"/>
          <w:lang w:val="en-US" w:eastAsia="zh-CN"/>
        </w:rPr>
        <w:t>项目</w:t>
      </w:r>
      <w:r>
        <w:t>地基上建筑物的设计应遵循预防为主、综合治理的原则。设计时，应根据场地的工程地质特征和水文气象条件以及地基基础的设计等级，结合当地经验，注重总平面和竖向布置。</w:t>
      </w:r>
      <w:bookmarkEnd w:id="83"/>
      <w:bookmarkEnd w:id="84"/>
      <w:bookmarkEnd w:id="85"/>
      <w:bookmarkEnd w:id="86"/>
      <w:bookmarkEnd w:id="87"/>
      <w:bookmarkEnd w:id="88"/>
      <w:bookmarkEnd w:id="89"/>
    </w:p>
    <w:p w14:paraId="25ADF7EE">
      <w:pPr>
        <w:bidi w:val="0"/>
        <w:rPr>
          <w:rFonts w:ascii="仿宋" w:hAnsi="仿宋" w:eastAsia="仿宋" w:cs="仿宋"/>
        </w:rPr>
      </w:pPr>
      <w:r>
        <w:rPr>
          <w:rFonts w:hint="eastAsia" w:ascii="仿宋" w:hAnsi="仿宋" w:eastAsia="仿宋" w:cs="仿宋"/>
          <w:b/>
          <w:bCs/>
          <w:spacing w:val="-5"/>
          <w:lang w:val="en-US" w:eastAsia="zh-CN"/>
        </w:rPr>
        <w:t>3</w:t>
      </w:r>
      <w:r>
        <w:rPr>
          <w:rFonts w:ascii="仿宋" w:hAnsi="仿宋" w:eastAsia="仿宋" w:cs="仿宋"/>
          <w:b/>
          <w:bCs/>
          <w:spacing w:val="-5"/>
        </w:rPr>
        <w:t>、不良地质</w:t>
      </w:r>
    </w:p>
    <w:p w14:paraId="041A0179">
      <w:pPr>
        <w:bidi w:val="0"/>
        <w:rPr>
          <w:rFonts w:hint="eastAsia"/>
          <w:color w:val="auto"/>
          <w:lang w:eastAsia="zh-CN"/>
        </w:rPr>
      </w:pPr>
      <w:r>
        <w:rPr>
          <w:rFonts w:hint="eastAsia"/>
          <w:color w:val="auto"/>
          <w:lang w:eastAsia="zh-CN"/>
        </w:rPr>
        <w:t>该项目场地地质无不良影响：无滑坡、断层、泥石流、严重流砂、淤泥、溶洞，满足安全性建厂条件。本项目生产装置中无高大建筑及对地层形成重压的设备，地质状况可满足生产装置的要求。</w:t>
      </w:r>
    </w:p>
    <w:p w14:paraId="5614D638">
      <w:pPr>
        <w:bidi w:val="0"/>
        <w:rPr>
          <w:b/>
          <w:bCs/>
          <w:color w:val="auto"/>
        </w:rPr>
      </w:pPr>
      <w:r>
        <w:rPr>
          <w:b/>
          <w:bCs/>
          <w:color w:val="auto"/>
        </w:rPr>
        <w:t>3 、地震</w:t>
      </w:r>
    </w:p>
    <w:p w14:paraId="569B9CCB">
      <w:pPr>
        <w:bidi w:val="0"/>
        <w:rPr>
          <w:color w:val="auto"/>
        </w:rPr>
      </w:pPr>
      <w:r>
        <w:rPr>
          <w:rFonts w:hint="eastAsia"/>
          <w:color w:val="auto"/>
        </w:rPr>
        <w:t>根据《中国地震动参数区划图》（GB18306-2015），地震设防烈度为 7 度，设计基 本地震加速度值为 0.10g，特征周期为 0.40s，设计地震分组为第二组。场地覆盖层厚度大于 3-50mm，建筑场地类别为Ⅱ类。</w:t>
      </w:r>
    </w:p>
    <w:p w14:paraId="1B33FFFA">
      <w:pPr>
        <w:pStyle w:val="5"/>
        <w:bidi w:val="0"/>
        <w:rPr>
          <w:color w:val="auto"/>
        </w:rPr>
      </w:pPr>
      <w:r>
        <w:rPr>
          <w:color w:val="auto"/>
        </w:rPr>
        <w:t>2.7.3 水文</w:t>
      </w:r>
    </w:p>
    <w:p w14:paraId="725885C0">
      <w:pPr>
        <w:bidi w:val="0"/>
        <w:rPr>
          <w:rFonts w:hint="eastAsia"/>
          <w:lang w:val="en-US" w:eastAsia="zh-CN"/>
        </w:rPr>
      </w:pPr>
      <w:r>
        <w:rPr>
          <w:rFonts w:hint="eastAsia"/>
          <w:lang w:val="en-US" w:eastAsia="zh-CN"/>
        </w:rPr>
        <w:t>雅安市水资源丰富，境内河流属长江流域岷江水系。市境内以大相岭为天然分水岭，形成北部的青衣江水系和南部的大渡河水系。雅安市城区河流属青衣江水系，有“一江六河”—青衣江、陇西河、周公河、晏场河、严桥河、高腔河六条主要支流，人平均水量5292m3，是少有的富水地区。</w:t>
      </w:r>
    </w:p>
    <w:p w14:paraId="68751A43">
      <w:pPr>
        <w:bidi w:val="0"/>
        <w:rPr>
          <w:rFonts w:hint="default"/>
          <w:lang w:val="en-US" w:eastAsia="zh-CN"/>
        </w:rPr>
      </w:pPr>
      <w:r>
        <w:rPr>
          <w:rFonts w:hint="eastAsia"/>
          <w:lang w:val="en-US" w:eastAsia="zh-CN"/>
        </w:rPr>
        <w:t>（1）青衣江</w:t>
      </w:r>
    </w:p>
    <w:p w14:paraId="059037A8">
      <w:pPr>
        <w:bidi w:val="0"/>
        <w:rPr>
          <w:rFonts w:hint="eastAsia"/>
          <w:lang w:val="en-US" w:eastAsia="zh-CN"/>
        </w:rPr>
      </w:pPr>
      <w:r>
        <w:rPr>
          <w:rFonts w:hint="eastAsia"/>
          <w:lang w:val="en-US" w:eastAsia="zh-CN"/>
        </w:rPr>
        <w:t>地理位置介于东经102°17</w:t>
      </w:r>
      <w:r>
        <w:rPr>
          <w:rFonts w:hint="default"/>
        </w:rPr>
        <w:t>～</w:t>
      </w:r>
      <w:r>
        <w:rPr>
          <w:rFonts w:hint="eastAsia"/>
          <w:lang w:val="en-US" w:eastAsia="zh-CN"/>
        </w:rPr>
        <w:t>103°42'、北纬 29°25</w:t>
      </w:r>
      <w:r>
        <w:rPr>
          <w:rFonts w:hint="default"/>
        </w:rPr>
        <w:t>～</w:t>
      </w:r>
      <w:r>
        <w:rPr>
          <w:rFonts w:hint="eastAsia"/>
          <w:lang w:val="en-US" w:eastAsia="zh-CN"/>
        </w:rPr>
        <w:t>30°56'之间，属岷江水系大渡河下游左岸一级支流，上游主要源宝兴河发源于邛崃山脉巴朗山南麓蜀西营，向南至两河口纳西河，过宝兴县城于三江口纳芦山河，至飞仙关纳荥经河及天全河之后，转向东南，出多功峡经多营坪雨城电站，穿雅安市区，至城东纳周公河，过姚桥、大兴、梯子岩、水津关、金沙、龟都府、止水岩后，入乐山市洪雅县境，经槽渔滩电站至木城纳花溪河，穿夹江千佛岩至乐山草鞋渡入大渡河，大渡河再东行5km入岷江。本河段总体开发任务是：以流域形心处的飞仙关为界，上游干支流以发电为主，其次为灌溉、防洪、水产及水土保持等；中下游则以灌溉、防洪为主，兼顾发电及环保等。青衣江在城区由西向东流过，流程34.3km，多年平均流量390m3/s，最枯月平均流量约80m3/s。</w:t>
      </w:r>
    </w:p>
    <w:p w14:paraId="30DCDCB4">
      <w:pPr>
        <w:bidi w:val="0"/>
        <w:rPr>
          <w:rFonts w:hint="default"/>
          <w:lang w:val="en-US" w:eastAsia="zh-CN"/>
        </w:rPr>
      </w:pPr>
      <w:r>
        <w:rPr>
          <w:rFonts w:hint="eastAsia"/>
          <w:lang w:val="en-US" w:eastAsia="zh-CN"/>
        </w:rPr>
        <w:t>（2）名山河</w:t>
      </w:r>
    </w:p>
    <w:p w14:paraId="4C981C63">
      <w:pPr>
        <w:bidi w:val="0"/>
        <w:rPr>
          <w:rFonts w:hint="eastAsia"/>
          <w:lang w:val="en-US" w:eastAsia="zh-CN"/>
        </w:rPr>
      </w:pPr>
      <w:r>
        <w:rPr>
          <w:rFonts w:hint="eastAsia"/>
          <w:lang w:val="en-US" w:eastAsia="zh-CN"/>
        </w:rPr>
        <w:t>青衣江左岸一级支流，古称清溪、小溪、名山水、蒙水。河流发源于雅安市下里乡蒙山(王家山)，东绕名山北坡，于鸳鸯桥入名山县境，左纳横山庙沟，折向南流，左纳双溪沟，南流经名山县城东，右纳槐溪，折而东流，左纳陆家沟，右纳夙鸣沟；以下有S形河曲，曲折南流，经永兴镇、罗土扁，左纳楠庙沟(沼海)，又东流至红岩，左纳延镇河，南流入雅安市境，过合江镇，转南至龟都府止水岩，汇入青衣江。流域面积212.7km2，多年平均流量6.5m3/s，多年枯水期流量约0.5m3/s，年均水资源量3.6亿m3，主流长约41km，水能理论蕴量2859kw，可开发量325kw，已开发了325kw。</w:t>
      </w:r>
    </w:p>
    <w:p w14:paraId="6880405C">
      <w:pPr>
        <w:pStyle w:val="5"/>
        <w:bidi w:val="0"/>
        <w:rPr>
          <w:b/>
          <w:bCs/>
          <w:color w:val="auto"/>
          <w:spacing w:val="-4"/>
        </w:rPr>
      </w:pPr>
      <w:r>
        <w:rPr>
          <w:rFonts w:ascii="Times New Roman" w:hAnsi="Times New Roman" w:eastAsia="Times New Roman" w:cs="Times New Roman"/>
          <w:b/>
          <w:bCs/>
          <w:color w:val="auto"/>
          <w:spacing w:val="-4"/>
        </w:rPr>
        <w:t>2.7.4</w:t>
      </w:r>
      <w:r>
        <w:rPr>
          <w:rFonts w:ascii="Times New Roman" w:hAnsi="Times New Roman" w:eastAsia="Times New Roman" w:cs="Times New Roman"/>
          <w:b/>
          <w:bCs/>
          <w:color w:val="auto"/>
          <w:spacing w:val="17"/>
        </w:rPr>
        <w:t xml:space="preserve"> </w:t>
      </w:r>
      <w:r>
        <w:rPr>
          <w:b/>
          <w:bCs/>
          <w:color w:val="auto"/>
          <w:spacing w:val="-4"/>
        </w:rPr>
        <w:t>气象</w:t>
      </w:r>
    </w:p>
    <w:p w14:paraId="58B3C1B7">
      <w:pPr>
        <w:bidi w:val="0"/>
      </w:pPr>
      <w:r>
        <w:t>项目区属亚热带湿润季风气候区。气温特点： 气候温和，雨量充沛，夏无酷暑，冬</w:t>
      </w:r>
      <w:r>
        <w:rPr>
          <w:rFonts w:ascii="仿宋" w:hAnsi="仿宋" w:eastAsia="仿宋" w:cs="仿宋"/>
          <w:spacing w:val="2"/>
        </w:rPr>
        <w:t>无严寒；据雅安市气象台的统计资料，项目</w:t>
      </w:r>
      <w:r>
        <w:rPr>
          <w:rFonts w:ascii="仿宋" w:hAnsi="仿宋" w:eastAsia="仿宋" w:cs="仿宋"/>
          <w:spacing w:val="1"/>
        </w:rPr>
        <w:t>区内多年平均气温</w:t>
      </w:r>
      <w:r>
        <w:rPr>
          <w:rFonts w:ascii="仿宋" w:hAnsi="仿宋" w:eastAsia="仿宋" w:cs="仿宋"/>
          <w:spacing w:val="-31"/>
        </w:rPr>
        <w:t xml:space="preserve"> </w:t>
      </w:r>
      <w:r>
        <w:rPr>
          <w:spacing w:val="1"/>
        </w:rPr>
        <w:t>16.2</w:t>
      </w:r>
      <w:r>
        <w:rPr>
          <w:rFonts w:ascii="仿宋" w:hAnsi="仿宋" w:eastAsia="仿宋" w:cs="仿宋"/>
          <w:spacing w:val="1"/>
        </w:rPr>
        <w:t>℃,≥</w:t>
      </w:r>
      <w:r>
        <w:rPr>
          <w:spacing w:val="1"/>
        </w:rPr>
        <w:t>10</w:t>
      </w:r>
      <w:r>
        <w:rPr>
          <w:rFonts w:ascii="仿宋" w:hAnsi="仿宋" w:eastAsia="仿宋" w:cs="仿宋"/>
          <w:spacing w:val="1"/>
        </w:rPr>
        <w:t>℃积温</w:t>
      </w:r>
      <w:r>
        <w:rPr>
          <w:rFonts w:ascii="仿宋" w:hAnsi="仿宋" w:eastAsia="仿宋" w:cs="仿宋"/>
          <w:spacing w:val="-49"/>
        </w:rPr>
        <w:t xml:space="preserve"> </w:t>
      </w:r>
      <w:r>
        <w:rPr>
          <w:spacing w:val="1"/>
        </w:rPr>
        <w:t>507</w:t>
      </w:r>
      <w:r>
        <w:t xml:space="preserve">  </w:t>
      </w:r>
      <w:r>
        <w:rPr>
          <w:spacing w:val="-6"/>
        </w:rPr>
        <w:t>2</w:t>
      </w:r>
      <w:r>
        <w:rPr>
          <w:rFonts w:ascii="仿宋" w:hAnsi="仿宋" w:eastAsia="仿宋" w:cs="仿宋"/>
          <w:spacing w:val="-6"/>
        </w:rPr>
        <w:t>℃。全区多年平均降水量为</w:t>
      </w:r>
      <w:r>
        <w:rPr>
          <w:rFonts w:ascii="仿宋" w:hAnsi="仿宋" w:eastAsia="仿宋" w:cs="仿宋"/>
          <w:spacing w:val="-31"/>
        </w:rPr>
        <w:t xml:space="preserve"> </w:t>
      </w:r>
      <w:r>
        <w:rPr>
          <w:spacing w:val="-6"/>
        </w:rPr>
        <w:t>1732.4mm</w:t>
      </w:r>
      <w:r>
        <w:rPr>
          <w:rFonts w:ascii="仿宋" w:hAnsi="仿宋" w:eastAsia="仿宋" w:cs="仿宋"/>
          <w:spacing w:val="-6"/>
        </w:rPr>
        <w:t>，最高</w:t>
      </w:r>
      <w:r>
        <w:rPr>
          <w:rFonts w:ascii="仿宋" w:hAnsi="仿宋" w:eastAsia="仿宋" w:cs="仿宋"/>
          <w:spacing w:val="-55"/>
        </w:rPr>
        <w:t xml:space="preserve"> </w:t>
      </w:r>
      <w:r>
        <w:rPr>
          <w:spacing w:val="-6"/>
        </w:rPr>
        <w:t>2367.3mm  (1966)</w:t>
      </w:r>
      <w:r>
        <w:rPr>
          <w:rFonts w:ascii="仿宋" w:hAnsi="仿宋" w:eastAsia="仿宋" w:cs="仿宋"/>
          <w:spacing w:val="-6"/>
        </w:rPr>
        <w:t>，最低</w:t>
      </w:r>
      <w:r>
        <w:rPr>
          <w:rFonts w:ascii="仿宋" w:hAnsi="仿宋" w:eastAsia="仿宋" w:cs="仿宋"/>
          <w:spacing w:val="-32"/>
        </w:rPr>
        <w:t xml:space="preserve"> </w:t>
      </w:r>
      <w:r>
        <w:rPr>
          <w:spacing w:val="-6"/>
        </w:rPr>
        <w:t>1204.2</w:t>
      </w:r>
      <w:r>
        <w:rPr>
          <w:spacing w:val="-7"/>
        </w:rPr>
        <w:t>mm(1974)</w:t>
      </w:r>
      <w:r>
        <w:rPr>
          <w:spacing w:val="-26"/>
        </w:rPr>
        <w:t xml:space="preserve"> </w:t>
      </w:r>
      <w:r>
        <w:rPr>
          <w:rFonts w:ascii="仿宋" w:hAnsi="仿宋" w:eastAsia="仿宋" w:cs="仿宋"/>
          <w:spacing w:val="-7"/>
        </w:rPr>
        <w:t>。</w:t>
      </w:r>
      <w:r>
        <w:rPr>
          <w:rFonts w:ascii="仿宋" w:hAnsi="仿宋" w:eastAsia="仿宋" w:cs="仿宋"/>
        </w:rPr>
        <w:t xml:space="preserve"> </w:t>
      </w:r>
      <w:r>
        <w:rPr>
          <w:rFonts w:ascii="仿宋" w:hAnsi="仿宋" w:eastAsia="仿宋" w:cs="仿宋"/>
          <w:spacing w:val="-4"/>
        </w:rPr>
        <w:t>全年降水量集中于</w:t>
      </w:r>
      <w:r>
        <w:rPr>
          <w:rFonts w:ascii="仿宋" w:hAnsi="仿宋" w:eastAsia="仿宋" w:cs="仿宋"/>
          <w:spacing w:val="-49"/>
        </w:rPr>
        <w:t xml:space="preserve"> </w:t>
      </w:r>
      <w:r>
        <w:rPr>
          <w:spacing w:val="-4"/>
        </w:rPr>
        <w:t>5</w:t>
      </w:r>
      <w:r>
        <w:rPr>
          <w:rFonts w:ascii="仿宋" w:hAnsi="仿宋" w:eastAsia="仿宋" w:cs="仿宋"/>
          <w:spacing w:val="-4"/>
        </w:rPr>
        <w:t>～</w:t>
      </w:r>
      <w:r>
        <w:rPr>
          <w:spacing w:val="-4"/>
        </w:rPr>
        <w:t>10</w:t>
      </w:r>
      <w:r>
        <w:rPr>
          <w:spacing w:val="27"/>
        </w:rPr>
        <w:t xml:space="preserve"> </w:t>
      </w:r>
      <w:r>
        <w:rPr>
          <w:rFonts w:ascii="仿宋" w:hAnsi="仿宋" w:eastAsia="仿宋" w:cs="仿宋"/>
          <w:spacing w:val="-4"/>
        </w:rPr>
        <w:t>月，达</w:t>
      </w:r>
      <w:r>
        <w:rPr>
          <w:rFonts w:ascii="仿宋" w:hAnsi="仿宋" w:eastAsia="仿宋" w:cs="仿宋"/>
          <w:spacing w:val="-32"/>
        </w:rPr>
        <w:t xml:space="preserve"> </w:t>
      </w:r>
      <w:r>
        <w:rPr>
          <w:spacing w:val="-4"/>
        </w:rPr>
        <w:t>1456.7mm</w:t>
      </w:r>
      <w:r>
        <w:rPr>
          <w:rFonts w:ascii="仿宋" w:hAnsi="仿宋" w:eastAsia="仿宋" w:cs="仿宋"/>
          <w:spacing w:val="-4"/>
        </w:rPr>
        <w:t>，</w:t>
      </w:r>
      <w:r>
        <w:rPr>
          <w:rFonts w:ascii="仿宋" w:hAnsi="仿宋" w:eastAsia="仿宋" w:cs="仿宋"/>
          <w:spacing w:val="-71"/>
        </w:rPr>
        <w:t xml:space="preserve"> </w:t>
      </w:r>
      <w:r>
        <w:rPr>
          <w:rFonts w:ascii="仿宋" w:hAnsi="仿宋" w:eastAsia="仿宋" w:cs="仿宋"/>
          <w:spacing w:val="-4"/>
        </w:rPr>
        <w:t>占全年降水量</w:t>
      </w:r>
      <w:r>
        <w:rPr>
          <w:rFonts w:ascii="仿宋" w:hAnsi="仿宋" w:eastAsia="仿宋" w:cs="仿宋"/>
          <w:spacing w:val="-5"/>
        </w:rPr>
        <w:t>的</w:t>
      </w:r>
      <w:r>
        <w:rPr>
          <w:rFonts w:ascii="仿宋" w:hAnsi="仿宋" w:eastAsia="仿宋" w:cs="仿宋"/>
          <w:spacing w:val="-45"/>
        </w:rPr>
        <w:t xml:space="preserve"> </w:t>
      </w:r>
      <w:r>
        <w:rPr>
          <w:spacing w:val="-5"/>
        </w:rPr>
        <w:t>84.8%</w:t>
      </w:r>
      <w:r>
        <w:rPr>
          <w:rFonts w:ascii="仿宋" w:hAnsi="仿宋" w:eastAsia="仿宋" w:cs="仿宋"/>
          <w:spacing w:val="-5"/>
        </w:rPr>
        <w:t>，尤其是</w:t>
      </w:r>
      <w:r>
        <w:rPr>
          <w:rFonts w:ascii="仿宋" w:hAnsi="仿宋" w:eastAsia="仿宋" w:cs="仿宋"/>
          <w:spacing w:val="-51"/>
        </w:rPr>
        <w:t xml:space="preserve"> </w:t>
      </w:r>
      <w:r>
        <w:rPr>
          <w:spacing w:val="-5"/>
        </w:rPr>
        <w:t>7</w:t>
      </w:r>
      <w:r>
        <w:rPr>
          <w:rFonts w:ascii="仿宋" w:hAnsi="仿宋" w:eastAsia="仿宋" w:cs="仿宋"/>
          <w:spacing w:val="-5"/>
        </w:rPr>
        <w:t>～</w:t>
      </w:r>
      <w:r>
        <w:rPr>
          <w:spacing w:val="-5"/>
        </w:rPr>
        <w:t>8</w:t>
      </w:r>
      <w:r>
        <w:rPr>
          <w:spacing w:val="27"/>
          <w:w w:val="101"/>
        </w:rPr>
        <w:t xml:space="preserve"> </w:t>
      </w:r>
      <w:r>
        <w:rPr>
          <w:rFonts w:ascii="仿宋" w:hAnsi="仿宋" w:eastAsia="仿宋" w:cs="仿宋"/>
          <w:spacing w:val="-5"/>
        </w:rPr>
        <w:t>月降</w:t>
      </w:r>
      <w:r>
        <w:rPr>
          <w:rFonts w:ascii="仿宋" w:hAnsi="仿宋" w:eastAsia="仿宋" w:cs="仿宋"/>
        </w:rPr>
        <w:t xml:space="preserve"> </w:t>
      </w:r>
      <w:r>
        <w:rPr>
          <w:rFonts w:ascii="仿宋" w:hAnsi="仿宋" w:eastAsia="仿宋" w:cs="仿宋"/>
          <w:spacing w:val="-6"/>
        </w:rPr>
        <w:t>雨突出，达</w:t>
      </w:r>
      <w:r>
        <w:rPr>
          <w:rFonts w:ascii="仿宋" w:hAnsi="仿宋" w:eastAsia="仿宋" w:cs="仿宋"/>
          <w:spacing w:val="-45"/>
        </w:rPr>
        <w:t xml:space="preserve"> </w:t>
      </w:r>
      <w:r>
        <w:rPr>
          <w:spacing w:val="-6"/>
        </w:rPr>
        <w:t>868.2mm</w:t>
      </w:r>
      <w:r>
        <w:rPr>
          <w:rFonts w:ascii="仿宋" w:hAnsi="仿宋" w:eastAsia="仿宋" w:cs="仿宋"/>
          <w:spacing w:val="-6"/>
        </w:rPr>
        <w:t>，占全年约</w:t>
      </w:r>
      <w:r>
        <w:rPr>
          <w:rFonts w:ascii="仿宋" w:hAnsi="仿宋" w:eastAsia="仿宋" w:cs="仿宋"/>
          <w:spacing w:val="-35"/>
        </w:rPr>
        <w:t xml:space="preserve"> </w:t>
      </w:r>
      <w:r>
        <w:rPr>
          <w:spacing w:val="-6"/>
        </w:rPr>
        <w:t>48%</w:t>
      </w:r>
      <w:r>
        <w:rPr>
          <w:spacing w:val="-27"/>
        </w:rPr>
        <w:t xml:space="preserve"> </w:t>
      </w:r>
      <w:r>
        <w:rPr>
          <w:rFonts w:ascii="仿宋" w:hAnsi="仿宋" w:eastAsia="仿宋" w:cs="仿宋"/>
          <w:spacing w:val="-6"/>
        </w:rPr>
        <w:t>。</w:t>
      </w:r>
      <w:r>
        <w:rPr>
          <w:spacing w:val="-6"/>
        </w:rPr>
        <w:t>5</w:t>
      </w:r>
      <w:r>
        <w:rPr>
          <w:rFonts w:ascii="仿宋" w:hAnsi="仿宋" w:eastAsia="仿宋" w:cs="仿宋"/>
          <w:spacing w:val="-6"/>
        </w:rPr>
        <w:t>年一遇</w:t>
      </w:r>
      <w:r>
        <w:rPr>
          <w:rFonts w:ascii="仿宋" w:hAnsi="仿宋" w:eastAsia="仿宋" w:cs="仿宋"/>
          <w:spacing w:val="-32"/>
        </w:rPr>
        <w:t xml:space="preserve"> </w:t>
      </w:r>
      <w:r>
        <w:rPr>
          <w:spacing w:val="-6"/>
        </w:rPr>
        <w:t>1/6h</w:t>
      </w:r>
      <w:r>
        <w:rPr>
          <w:spacing w:val="-26"/>
        </w:rPr>
        <w:t xml:space="preserve"> </w:t>
      </w:r>
      <w:r>
        <w:rPr>
          <w:rFonts w:ascii="仿宋" w:hAnsi="仿宋" w:eastAsia="仿宋" w:cs="仿宋"/>
          <w:spacing w:val="-6"/>
        </w:rPr>
        <w:t>、</w:t>
      </w:r>
      <w:r>
        <w:rPr>
          <w:spacing w:val="-6"/>
        </w:rPr>
        <w:t>1h</w:t>
      </w:r>
      <w:r>
        <w:rPr>
          <w:spacing w:val="-26"/>
        </w:rPr>
        <w:t xml:space="preserve"> </w:t>
      </w:r>
      <w:r>
        <w:rPr>
          <w:rFonts w:ascii="仿宋" w:hAnsi="仿宋" w:eastAsia="仿宋" w:cs="仿宋"/>
          <w:spacing w:val="-6"/>
        </w:rPr>
        <w:t>、</w:t>
      </w:r>
      <w:r>
        <w:rPr>
          <w:spacing w:val="-6"/>
        </w:rPr>
        <w:t>6h</w:t>
      </w:r>
      <w:r>
        <w:rPr>
          <w:spacing w:val="-26"/>
        </w:rPr>
        <w:t xml:space="preserve"> </w:t>
      </w:r>
      <w:r>
        <w:rPr>
          <w:rFonts w:ascii="仿宋" w:hAnsi="仿宋" w:eastAsia="仿宋" w:cs="仿宋"/>
          <w:spacing w:val="-6"/>
        </w:rPr>
        <w:t>、</w:t>
      </w:r>
      <w:r>
        <w:rPr>
          <w:spacing w:val="-6"/>
        </w:rPr>
        <w:t>24h</w:t>
      </w:r>
      <w:r>
        <w:rPr>
          <w:spacing w:val="28"/>
          <w:w w:val="101"/>
        </w:rPr>
        <w:t xml:space="preserve"> </w:t>
      </w:r>
      <w:r>
        <w:rPr>
          <w:rFonts w:ascii="仿宋" w:hAnsi="仿宋" w:eastAsia="仿宋" w:cs="仿宋"/>
          <w:spacing w:val="-6"/>
        </w:rPr>
        <w:t>降雨量</w:t>
      </w:r>
      <w:r>
        <w:rPr>
          <w:rFonts w:ascii="仿宋" w:hAnsi="仿宋" w:eastAsia="仿宋" w:cs="仿宋"/>
          <w:spacing w:val="-7"/>
        </w:rPr>
        <w:t>为</w:t>
      </w:r>
      <w:r>
        <w:rPr>
          <w:rFonts w:ascii="仿宋" w:hAnsi="仿宋" w:eastAsia="仿宋" w:cs="仿宋"/>
          <w:spacing w:val="-32"/>
        </w:rPr>
        <w:t xml:space="preserve"> </w:t>
      </w:r>
      <w:r>
        <w:rPr>
          <w:spacing w:val="-7"/>
        </w:rPr>
        <w:t>19.6mm</w:t>
      </w:r>
      <w:r>
        <w:rPr>
          <w:rFonts w:ascii="仿宋" w:hAnsi="仿宋" w:eastAsia="仿宋" w:cs="仿宋"/>
          <w:spacing w:val="-7"/>
        </w:rPr>
        <w:t>、</w:t>
      </w:r>
      <w:r>
        <w:rPr>
          <w:rFonts w:ascii="仿宋" w:hAnsi="仿宋" w:eastAsia="仿宋" w:cs="仿宋"/>
        </w:rPr>
        <w:t xml:space="preserve"> </w:t>
      </w:r>
      <w:r>
        <w:rPr>
          <w:spacing w:val="-6"/>
        </w:rPr>
        <w:t>56.5mm</w:t>
      </w:r>
      <w:r>
        <w:rPr>
          <w:spacing w:val="-25"/>
        </w:rPr>
        <w:t xml:space="preserve"> </w:t>
      </w:r>
      <w:r>
        <w:rPr>
          <w:rFonts w:ascii="仿宋" w:hAnsi="仿宋" w:eastAsia="仿宋" w:cs="仿宋"/>
          <w:spacing w:val="-6"/>
        </w:rPr>
        <w:t>、</w:t>
      </w:r>
      <w:r>
        <w:rPr>
          <w:spacing w:val="-6"/>
        </w:rPr>
        <w:t>99.4mm</w:t>
      </w:r>
      <w:r>
        <w:rPr>
          <w:spacing w:val="-26"/>
        </w:rPr>
        <w:t xml:space="preserve"> </w:t>
      </w:r>
      <w:r>
        <w:rPr>
          <w:rFonts w:ascii="仿宋" w:hAnsi="仿宋" w:eastAsia="仿宋" w:cs="仿宋"/>
          <w:spacing w:val="-6"/>
        </w:rPr>
        <w:t>、</w:t>
      </w:r>
      <w:r>
        <w:rPr>
          <w:spacing w:val="-6"/>
        </w:rPr>
        <w:t>147mm</w:t>
      </w:r>
      <w:r>
        <w:rPr>
          <w:spacing w:val="-27"/>
        </w:rPr>
        <w:t xml:space="preserve"> </w:t>
      </w:r>
      <w:r>
        <w:rPr>
          <w:rFonts w:ascii="仿宋" w:hAnsi="仿宋" w:eastAsia="仿宋" w:cs="仿宋"/>
          <w:spacing w:val="-6"/>
        </w:rPr>
        <w:t>，</w:t>
      </w:r>
      <w:r>
        <w:rPr>
          <w:spacing w:val="-6"/>
        </w:rPr>
        <w:t>3</w:t>
      </w:r>
      <w:r>
        <w:rPr>
          <w:spacing w:val="21"/>
        </w:rPr>
        <w:t xml:space="preserve"> </w:t>
      </w:r>
      <w:r>
        <w:rPr>
          <w:rFonts w:ascii="仿宋" w:hAnsi="仿宋" w:eastAsia="仿宋" w:cs="仿宋"/>
          <w:spacing w:val="-6"/>
        </w:rPr>
        <w:t>年一遇</w:t>
      </w:r>
      <w:r>
        <w:rPr>
          <w:rFonts w:ascii="仿宋" w:hAnsi="仿宋" w:eastAsia="仿宋" w:cs="仿宋"/>
          <w:spacing w:val="-32"/>
        </w:rPr>
        <w:t xml:space="preserve"> </w:t>
      </w:r>
      <w:r>
        <w:rPr>
          <w:spacing w:val="-6"/>
        </w:rPr>
        <w:t>1/6h</w:t>
      </w:r>
      <w:r>
        <w:rPr>
          <w:spacing w:val="-26"/>
        </w:rPr>
        <w:t xml:space="preserve"> </w:t>
      </w:r>
      <w:r>
        <w:rPr>
          <w:rFonts w:ascii="仿宋" w:hAnsi="仿宋" w:eastAsia="仿宋" w:cs="仿宋"/>
          <w:spacing w:val="-6"/>
        </w:rPr>
        <w:t>、</w:t>
      </w:r>
      <w:r>
        <w:rPr>
          <w:spacing w:val="-6"/>
        </w:rPr>
        <w:t>1h</w:t>
      </w:r>
      <w:r>
        <w:rPr>
          <w:spacing w:val="-26"/>
        </w:rPr>
        <w:t xml:space="preserve"> </w:t>
      </w:r>
      <w:r>
        <w:rPr>
          <w:rFonts w:ascii="仿宋" w:hAnsi="仿宋" w:eastAsia="仿宋" w:cs="仿宋"/>
          <w:spacing w:val="-6"/>
        </w:rPr>
        <w:t>、</w:t>
      </w:r>
      <w:r>
        <w:rPr>
          <w:spacing w:val="-6"/>
        </w:rPr>
        <w:t>6h</w:t>
      </w:r>
      <w:r>
        <w:rPr>
          <w:spacing w:val="-24"/>
        </w:rPr>
        <w:t xml:space="preserve"> </w:t>
      </w:r>
      <w:r>
        <w:rPr>
          <w:rFonts w:ascii="仿宋" w:hAnsi="仿宋" w:eastAsia="仿宋" w:cs="仿宋"/>
          <w:spacing w:val="-6"/>
        </w:rPr>
        <w:t>、</w:t>
      </w:r>
      <w:r>
        <w:rPr>
          <w:spacing w:val="-6"/>
        </w:rPr>
        <w:t>24h</w:t>
      </w:r>
      <w:r>
        <w:rPr>
          <w:spacing w:val="31"/>
        </w:rPr>
        <w:t xml:space="preserve"> </w:t>
      </w:r>
      <w:r>
        <w:rPr>
          <w:rFonts w:ascii="仿宋" w:hAnsi="仿宋" w:eastAsia="仿宋" w:cs="仿宋"/>
          <w:spacing w:val="-6"/>
        </w:rPr>
        <w:t>降雨量为</w:t>
      </w:r>
      <w:r>
        <w:rPr>
          <w:rFonts w:ascii="仿宋" w:hAnsi="仿宋" w:eastAsia="仿宋" w:cs="仿宋"/>
          <w:spacing w:val="-30"/>
        </w:rPr>
        <w:t xml:space="preserve"> </w:t>
      </w:r>
      <w:r>
        <w:rPr>
          <w:spacing w:val="-6"/>
        </w:rPr>
        <w:t>17.3mm</w:t>
      </w:r>
      <w:r>
        <w:rPr>
          <w:spacing w:val="-21"/>
        </w:rPr>
        <w:t xml:space="preserve"> </w:t>
      </w:r>
      <w:r>
        <w:rPr>
          <w:rFonts w:ascii="仿宋" w:hAnsi="仿宋" w:eastAsia="仿宋" w:cs="仿宋"/>
          <w:spacing w:val="-6"/>
        </w:rPr>
        <w:t>、</w:t>
      </w:r>
      <w:r>
        <w:rPr>
          <w:spacing w:val="-6"/>
        </w:rPr>
        <w:t>4</w:t>
      </w:r>
      <w:r>
        <w:rPr>
          <w:spacing w:val="-7"/>
        </w:rPr>
        <w:t>8.8mm</w:t>
      </w:r>
      <w:r>
        <w:rPr>
          <w:rFonts w:ascii="仿宋" w:hAnsi="仿宋" w:eastAsia="仿宋" w:cs="仿宋"/>
          <w:spacing w:val="-7"/>
        </w:rPr>
        <w:t>、</w:t>
      </w:r>
      <w:r>
        <w:rPr>
          <w:rFonts w:ascii="仿宋" w:hAnsi="仿宋" w:eastAsia="仿宋" w:cs="仿宋"/>
        </w:rPr>
        <w:t xml:space="preserve"> </w:t>
      </w:r>
      <w:r>
        <w:rPr>
          <w:spacing w:val="-2"/>
        </w:rPr>
        <w:t>80.4mm</w:t>
      </w:r>
      <w:r>
        <w:rPr>
          <w:spacing w:val="-26"/>
        </w:rPr>
        <w:t xml:space="preserve"> </w:t>
      </w:r>
      <w:r>
        <w:rPr>
          <w:rFonts w:ascii="仿宋" w:hAnsi="仿宋" w:eastAsia="仿宋" w:cs="仿宋"/>
          <w:spacing w:val="-2"/>
        </w:rPr>
        <w:t>、</w:t>
      </w:r>
      <w:r>
        <w:rPr>
          <w:spacing w:val="-2"/>
        </w:rPr>
        <w:t>116mm</w:t>
      </w:r>
      <w:r>
        <w:rPr>
          <w:rFonts w:ascii="仿宋" w:hAnsi="仿宋" w:eastAsia="仿宋" w:cs="仿宋"/>
          <w:spacing w:val="5"/>
        </w:rPr>
        <w:t>），</w:t>
      </w:r>
      <w:r>
        <w:rPr>
          <w:rFonts w:ascii="仿宋" w:hAnsi="仿宋" w:eastAsia="仿宋" w:cs="仿宋"/>
          <w:spacing w:val="-2"/>
        </w:rPr>
        <w:t>最大一日降水量为</w:t>
      </w:r>
      <w:r>
        <w:rPr>
          <w:rFonts w:ascii="仿宋" w:hAnsi="仿宋" w:eastAsia="仿宋" w:cs="仿宋"/>
          <w:spacing w:val="-50"/>
        </w:rPr>
        <w:t xml:space="preserve"> </w:t>
      </w:r>
      <w:r>
        <w:rPr>
          <w:spacing w:val="-2"/>
        </w:rPr>
        <w:t>339.7mm</w:t>
      </w:r>
      <w:r>
        <w:rPr>
          <w:rFonts w:ascii="仿宋" w:hAnsi="仿宋" w:eastAsia="仿宋" w:cs="仿宋"/>
          <w:spacing w:val="-2"/>
        </w:rPr>
        <w:t>（</w:t>
      </w:r>
      <w:r>
        <w:rPr>
          <w:spacing w:val="-2"/>
        </w:rPr>
        <w:t>1951</w:t>
      </w:r>
      <w:r>
        <w:rPr>
          <w:rFonts w:ascii="仿宋" w:hAnsi="仿宋" w:eastAsia="仿宋" w:cs="仿宋"/>
          <w:spacing w:val="-2"/>
        </w:rPr>
        <w:t>～</w:t>
      </w:r>
      <w:r>
        <w:rPr>
          <w:spacing w:val="-2"/>
        </w:rPr>
        <w:t>1990</w:t>
      </w:r>
      <w:r>
        <w:rPr>
          <w:spacing w:val="21"/>
          <w:w w:val="101"/>
        </w:rPr>
        <w:t xml:space="preserve"> </w:t>
      </w:r>
      <w:r>
        <w:rPr>
          <w:rFonts w:ascii="仿宋" w:hAnsi="仿宋" w:eastAsia="仿宋" w:cs="仿宋"/>
          <w:spacing w:val="-2"/>
        </w:rPr>
        <w:t>年期间实测数据</w:t>
      </w:r>
      <w:r>
        <w:rPr>
          <w:rFonts w:ascii="仿宋" w:hAnsi="仿宋" w:eastAsia="仿宋" w:cs="仿宋"/>
          <w:spacing w:val="5"/>
        </w:rPr>
        <w:t>），</w:t>
      </w:r>
      <w:r>
        <w:rPr>
          <w:rFonts w:ascii="仿宋" w:hAnsi="仿宋" w:eastAsia="仿宋" w:cs="仿宋"/>
          <w:spacing w:val="-2"/>
        </w:rPr>
        <w:t>出</w:t>
      </w:r>
      <w:r>
        <w:rPr>
          <w:rFonts w:ascii="仿宋" w:hAnsi="仿宋" w:eastAsia="仿宋" w:cs="仿宋"/>
        </w:rPr>
        <w:t xml:space="preserve">  </w:t>
      </w:r>
      <w:r>
        <w:rPr>
          <w:rFonts w:ascii="仿宋" w:hAnsi="仿宋" w:eastAsia="仿宋" w:cs="仿宋"/>
          <w:spacing w:val="-7"/>
        </w:rPr>
        <w:t>现在</w:t>
      </w:r>
      <w:r>
        <w:rPr>
          <w:rFonts w:ascii="仿宋" w:hAnsi="仿宋" w:eastAsia="仿宋" w:cs="仿宋"/>
          <w:spacing w:val="-32"/>
        </w:rPr>
        <w:t xml:space="preserve"> </w:t>
      </w:r>
      <w:r>
        <w:rPr>
          <w:spacing w:val="-7"/>
        </w:rPr>
        <w:t>1959</w:t>
      </w:r>
      <w:r>
        <w:rPr>
          <w:rFonts w:ascii="仿宋" w:hAnsi="仿宋" w:eastAsia="仿宋" w:cs="仿宋"/>
          <w:spacing w:val="-7"/>
        </w:rPr>
        <w:t>年</w:t>
      </w:r>
      <w:r>
        <w:rPr>
          <w:rFonts w:ascii="仿宋" w:hAnsi="仿宋" w:eastAsia="仿宋" w:cs="仿宋"/>
          <w:spacing w:val="-46"/>
        </w:rPr>
        <w:t xml:space="preserve"> </w:t>
      </w:r>
      <w:r>
        <w:rPr>
          <w:spacing w:val="-7"/>
        </w:rPr>
        <w:t>8</w:t>
      </w:r>
      <w:r>
        <w:rPr>
          <w:rFonts w:ascii="仿宋" w:hAnsi="仿宋" w:eastAsia="仿宋" w:cs="仿宋"/>
          <w:spacing w:val="-7"/>
        </w:rPr>
        <w:t>月</w:t>
      </w:r>
      <w:r>
        <w:rPr>
          <w:rFonts w:ascii="仿宋" w:hAnsi="仿宋" w:eastAsia="仿宋" w:cs="仿宋"/>
          <w:spacing w:val="-32"/>
        </w:rPr>
        <w:t xml:space="preserve"> </w:t>
      </w:r>
      <w:r>
        <w:rPr>
          <w:spacing w:val="-7"/>
        </w:rPr>
        <w:t>12</w:t>
      </w:r>
      <w:r>
        <w:rPr>
          <w:rFonts w:ascii="仿宋" w:hAnsi="仿宋" w:eastAsia="仿宋" w:cs="仿宋"/>
          <w:spacing w:val="-7"/>
        </w:rPr>
        <w:t>日。每年降水量大于</w:t>
      </w:r>
      <w:r>
        <w:rPr>
          <w:rFonts w:ascii="仿宋" w:hAnsi="仿宋" w:eastAsia="仿宋" w:cs="仿宋"/>
          <w:spacing w:val="-31"/>
        </w:rPr>
        <w:t xml:space="preserve"> </w:t>
      </w:r>
      <w:r>
        <w:rPr>
          <w:spacing w:val="-7"/>
        </w:rPr>
        <w:t>10mm</w:t>
      </w:r>
      <w:r>
        <w:rPr>
          <w:rFonts w:ascii="仿宋" w:hAnsi="仿宋" w:eastAsia="仿宋" w:cs="仿宋"/>
          <w:spacing w:val="-7"/>
        </w:rPr>
        <w:t>以上的日数为</w:t>
      </w:r>
      <w:r>
        <w:rPr>
          <w:rFonts w:ascii="仿宋" w:hAnsi="仿宋" w:eastAsia="仿宋" w:cs="仿宋"/>
          <w:spacing w:val="-56"/>
        </w:rPr>
        <w:t xml:space="preserve"> </w:t>
      </w:r>
      <w:r>
        <w:rPr>
          <w:spacing w:val="-7"/>
        </w:rPr>
        <w:t>43.7</w:t>
      </w:r>
      <w:r>
        <w:rPr>
          <w:rFonts w:ascii="仿宋" w:hAnsi="仿宋" w:eastAsia="仿宋" w:cs="仿宋"/>
          <w:spacing w:val="-7"/>
        </w:rPr>
        <w:t>天，大于</w:t>
      </w:r>
      <w:r>
        <w:rPr>
          <w:rFonts w:ascii="仿宋" w:hAnsi="仿宋" w:eastAsia="仿宋" w:cs="仿宋"/>
          <w:spacing w:val="-55"/>
        </w:rPr>
        <w:t xml:space="preserve"> </w:t>
      </w:r>
      <w:r>
        <w:rPr>
          <w:spacing w:val="-7"/>
        </w:rPr>
        <w:t>2</w:t>
      </w:r>
      <w:r>
        <w:rPr>
          <w:spacing w:val="-8"/>
        </w:rPr>
        <w:t>5mm</w:t>
      </w:r>
      <w:r>
        <w:rPr>
          <w:spacing w:val="42"/>
        </w:rPr>
        <w:t xml:space="preserve"> </w:t>
      </w:r>
      <w:r>
        <w:rPr>
          <w:rFonts w:ascii="仿宋" w:hAnsi="仿宋" w:eastAsia="仿宋" w:cs="仿宋"/>
          <w:spacing w:val="-8"/>
        </w:rPr>
        <w:t>以</w:t>
      </w:r>
      <w:r>
        <w:rPr>
          <w:rFonts w:ascii="仿宋" w:hAnsi="仿宋" w:eastAsia="仿宋" w:cs="仿宋"/>
          <w:spacing w:val="-3"/>
        </w:rPr>
        <w:t>上的日数为</w:t>
      </w:r>
      <w:r>
        <w:rPr>
          <w:rFonts w:ascii="仿宋" w:hAnsi="仿宋" w:eastAsia="仿宋" w:cs="仿宋"/>
          <w:spacing w:val="-32"/>
        </w:rPr>
        <w:t xml:space="preserve"> </w:t>
      </w:r>
      <w:r>
        <w:rPr>
          <w:spacing w:val="-3"/>
        </w:rPr>
        <w:t>17</w:t>
      </w:r>
      <w:r>
        <w:rPr>
          <w:rFonts w:ascii="仿宋" w:hAnsi="仿宋" w:eastAsia="仿宋" w:cs="仿宋"/>
          <w:spacing w:val="-3"/>
        </w:rPr>
        <w:t>天，大于</w:t>
      </w:r>
      <w:r>
        <w:rPr>
          <w:rFonts w:ascii="仿宋" w:hAnsi="仿宋" w:eastAsia="仿宋" w:cs="仿宋"/>
          <w:spacing w:val="-48"/>
        </w:rPr>
        <w:t xml:space="preserve"> </w:t>
      </w:r>
      <w:r>
        <w:rPr>
          <w:spacing w:val="-3"/>
        </w:rPr>
        <w:t>50mm</w:t>
      </w:r>
      <w:r>
        <w:rPr>
          <w:spacing w:val="41"/>
          <w:w w:val="101"/>
        </w:rPr>
        <w:t xml:space="preserve"> </w:t>
      </w:r>
      <w:r>
        <w:rPr>
          <w:rFonts w:ascii="仿宋" w:hAnsi="仿宋" w:eastAsia="仿宋" w:cs="仿宋"/>
          <w:spacing w:val="-3"/>
        </w:rPr>
        <w:t>以上日数为</w:t>
      </w:r>
      <w:r>
        <w:rPr>
          <w:rFonts w:ascii="仿宋" w:hAnsi="仿宋" w:eastAsia="仿宋" w:cs="仿宋"/>
          <w:spacing w:val="-50"/>
        </w:rPr>
        <w:t xml:space="preserve"> </w:t>
      </w:r>
      <w:r>
        <w:rPr>
          <w:spacing w:val="-3"/>
        </w:rPr>
        <w:t>6.7</w:t>
      </w:r>
      <w:r>
        <w:rPr>
          <w:rFonts w:ascii="仿宋" w:hAnsi="仿宋" w:eastAsia="仿宋" w:cs="仿宋"/>
          <w:spacing w:val="-3"/>
        </w:rPr>
        <w:t>天。</w:t>
      </w:r>
      <w:r>
        <w:t>年均相对湿度为79%，年均风速为1.7m/s，风向 EN，年日照时数为1019h，年均霜日9.2d。项目区气象资料来源于雅安市气象局，详见表 2.7-1 、2.7-2。</w:t>
      </w:r>
    </w:p>
    <w:p w14:paraId="409DD5DA">
      <w:pPr>
        <w:pStyle w:val="35"/>
        <w:bidi w:val="0"/>
        <w:rPr>
          <w:rFonts w:ascii="仿宋" w:hAnsi="仿宋" w:eastAsia="仿宋" w:cs="仿宋"/>
          <w:sz w:val="21"/>
          <w:szCs w:val="21"/>
        </w:rPr>
      </w:pPr>
      <w:r>
        <w:rPr>
          <w:rFonts w:ascii="仿宋" w:hAnsi="仿宋" w:eastAsia="仿宋" w:cs="仿宋"/>
          <w:b/>
          <w:bCs/>
          <w:spacing w:val="-2"/>
          <w:sz w:val="21"/>
          <w:szCs w:val="21"/>
        </w:rPr>
        <w:t>表</w:t>
      </w:r>
      <w:r>
        <w:rPr>
          <w:rFonts w:ascii="仿宋" w:hAnsi="仿宋" w:eastAsia="仿宋" w:cs="仿宋"/>
          <w:spacing w:val="-42"/>
          <w:sz w:val="21"/>
          <w:szCs w:val="21"/>
        </w:rPr>
        <w:t xml:space="preserve"> </w:t>
      </w:r>
      <w:r>
        <w:rPr>
          <w:b/>
          <w:bCs/>
          <w:spacing w:val="-2"/>
          <w:sz w:val="21"/>
          <w:szCs w:val="21"/>
        </w:rPr>
        <w:t xml:space="preserve">2.7-1    </w:t>
      </w:r>
      <w:r>
        <w:rPr>
          <w:rFonts w:ascii="仿宋" w:hAnsi="仿宋" w:eastAsia="仿宋" w:cs="仿宋"/>
          <w:b/>
          <w:bCs/>
          <w:spacing w:val="-2"/>
          <w:sz w:val="21"/>
          <w:szCs w:val="21"/>
        </w:rPr>
        <w:t>项目区气候特征一览表</w:t>
      </w:r>
    </w:p>
    <w:p w14:paraId="3B19C63F">
      <w:pPr>
        <w:spacing w:line="129" w:lineRule="exact"/>
      </w:pPr>
    </w:p>
    <w:tbl>
      <w:tblPr>
        <w:tblStyle w:val="97"/>
        <w:tblW w:w="929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32"/>
        <w:gridCol w:w="4611"/>
        <w:gridCol w:w="1394"/>
        <w:gridCol w:w="1959"/>
      </w:tblGrid>
      <w:tr w14:paraId="62321F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7" w:hRule="atLeast"/>
        </w:trPr>
        <w:tc>
          <w:tcPr>
            <w:tcW w:w="1332" w:type="dxa"/>
            <w:tcBorders>
              <w:top w:val="single" w:color="000000" w:sz="10" w:space="0"/>
              <w:left w:val="nil"/>
            </w:tcBorders>
            <w:vAlign w:val="top"/>
          </w:tcPr>
          <w:p w14:paraId="08EE919F">
            <w:pPr>
              <w:pStyle w:val="34"/>
              <w:bidi w:val="0"/>
            </w:pPr>
            <w:r>
              <w:t>序号</w:t>
            </w:r>
          </w:p>
        </w:tc>
        <w:tc>
          <w:tcPr>
            <w:tcW w:w="4611" w:type="dxa"/>
            <w:tcBorders>
              <w:top w:val="single" w:color="000000" w:sz="10" w:space="0"/>
            </w:tcBorders>
            <w:vAlign w:val="top"/>
          </w:tcPr>
          <w:p w14:paraId="38C0D2C4">
            <w:pPr>
              <w:pStyle w:val="34"/>
              <w:bidi w:val="0"/>
            </w:pPr>
            <w:r>
              <w:t>气象因子</w:t>
            </w:r>
          </w:p>
        </w:tc>
        <w:tc>
          <w:tcPr>
            <w:tcW w:w="1394" w:type="dxa"/>
            <w:tcBorders>
              <w:top w:val="single" w:color="000000" w:sz="10" w:space="0"/>
            </w:tcBorders>
            <w:vAlign w:val="top"/>
          </w:tcPr>
          <w:p w14:paraId="234B6503">
            <w:pPr>
              <w:pStyle w:val="34"/>
              <w:bidi w:val="0"/>
            </w:pPr>
            <w:r>
              <w:t>单位</w:t>
            </w:r>
          </w:p>
        </w:tc>
        <w:tc>
          <w:tcPr>
            <w:tcW w:w="1959" w:type="dxa"/>
            <w:tcBorders>
              <w:top w:val="single" w:color="000000" w:sz="10" w:space="0"/>
              <w:right w:val="nil"/>
            </w:tcBorders>
            <w:vAlign w:val="top"/>
          </w:tcPr>
          <w:p w14:paraId="6C9E54BF">
            <w:pPr>
              <w:pStyle w:val="34"/>
              <w:bidi w:val="0"/>
            </w:pPr>
            <w:r>
              <w:t>特征值</w:t>
            </w:r>
          </w:p>
        </w:tc>
      </w:tr>
      <w:tr w14:paraId="3A3539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332" w:type="dxa"/>
            <w:tcBorders>
              <w:left w:val="nil"/>
            </w:tcBorders>
            <w:vAlign w:val="top"/>
          </w:tcPr>
          <w:p w14:paraId="022BE140">
            <w:pPr>
              <w:pStyle w:val="34"/>
              <w:bidi w:val="0"/>
            </w:pPr>
            <w:r>
              <w:t>1</w:t>
            </w:r>
          </w:p>
        </w:tc>
        <w:tc>
          <w:tcPr>
            <w:tcW w:w="4611" w:type="dxa"/>
            <w:vAlign w:val="top"/>
          </w:tcPr>
          <w:p w14:paraId="3F989D95">
            <w:pPr>
              <w:pStyle w:val="34"/>
              <w:bidi w:val="0"/>
            </w:pPr>
            <w:r>
              <w:t>年平均气温</w:t>
            </w:r>
          </w:p>
        </w:tc>
        <w:tc>
          <w:tcPr>
            <w:tcW w:w="1394" w:type="dxa"/>
            <w:vAlign w:val="top"/>
          </w:tcPr>
          <w:p w14:paraId="422C9B6C">
            <w:pPr>
              <w:pStyle w:val="34"/>
              <w:bidi w:val="0"/>
            </w:pPr>
            <w:r>
              <w:t>℃</w:t>
            </w:r>
          </w:p>
        </w:tc>
        <w:tc>
          <w:tcPr>
            <w:tcW w:w="1959" w:type="dxa"/>
            <w:tcBorders>
              <w:right w:val="nil"/>
            </w:tcBorders>
            <w:vAlign w:val="top"/>
          </w:tcPr>
          <w:p w14:paraId="3045B60E">
            <w:pPr>
              <w:pStyle w:val="34"/>
              <w:bidi w:val="0"/>
            </w:pPr>
            <w:r>
              <w:t>16.20</w:t>
            </w:r>
          </w:p>
        </w:tc>
      </w:tr>
      <w:tr w14:paraId="2CBB13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332" w:type="dxa"/>
            <w:tcBorders>
              <w:left w:val="nil"/>
            </w:tcBorders>
            <w:vAlign w:val="top"/>
          </w:tcPr>
          <w:p w14:paraId="1589E2B8">
            <w:pPr>
              <w:pStyle w:val="34"/>
              <w:bidi w:val="0"/>
            </w:pPr>
            <w:r>
              <w:t>2</w:t>
            </w:r>
          </w:p>
        </w:tc>
        <w:tc>
          <w:tcPr>
            <w:tcW w:w="4611" w:type="dxa"/>
            <w:vAlign w:val="top"/>
          </w:tcPr>
          <w:p w14:paraId="6946E496">
            <w:pPr>
              <w:pStyle w:val="34"/>
              <w:bidi w:val="0"/>
            </w:pPr>
            <w:r>
              <w:t>极端最高气温</w:t>
            </w:r>
          </w:p>
        </w:tc>
        <w:tc>
          <w:tcPr>
            <w:tcW w:w="1394" w:type="dxa"/>
            <w:vAlign w:val="top"/>
          </w:tcPr>
          <w:p w14:paraId="7D50C9FB">
            <w:pPr>
              <w:pStyle w:val="34"/>
              <w:bidi w:val="0"/>
            </w:pPr>
            <w:r>
              <w:t>℃</w:t>
            </w:r>
          </w:p>
        </w:tc>
        <w:tc>
          <w:tcPr>
            <w:tcW w:w="1959" w:type="dxa"/>
            <w:tcBorders>
              <w:right w:val="nil"/>
            </w:tcBorders>
            <w:vAlign w:val="top"/>
          </w:tcPr>
          <w:p w14:paraId="5F320C0E">
            <w:pPr>
              <w:pStyle w:val="34"/>
              <w:bidi w:val="0"/>
            </w:pPr>
            <w:r>
              <w:t>37.70</w:t>
            </w:r>
          </w:p>
        </w:tc>
      </w:tr>
      <w:tr w14:paraId="75EE9F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1" w:hRule="atLeast"/>
        </w:trPr>
        <w:tc>
          <w:tcPr>
            <w:tcW w:w="1332" w:type="dxa"/>
            <w:tcBorders>
              <w:left w:val="nil"/>
            </w:tcBorders>
            <w:vAlign w:val="top"/>
          </w:tcPr>
          <w:p w14:paraId="1B20F09D">
            <w:pPr>
              <w:pStyle w:val="34"/>
              <w:bidi w:val="0"/>
            </w:pPr>
            <w:r>
              <w:t>3</w:t>
            </w:r>
          </w:p>
        </w:tc>
        <w:tc>
          <w:tcPr>
            <w:tcW w:w="4611" w:type="dxa"/>
            <w:vAlign w:val="top"/>
          </w:tcPr>
          <w:p w14:paraId="0397A4C9">
            <w:pPr>
              <w:pStyle w:val="34"/>
              <w:bidi w:val="0"/>
            </w:pPr>
            <w:r>
              <w:t>极端最低气温</w:t>
            </w:r>
          </w:p>
        </w:tc>
        <w:tc>
          <w:tcPr>
            <w:tcW w:w="1394" w:type="dxa"/>
            <w:vAlign w:val="top"/>
          </w:tcPr>
          <w:p w14:paraId="5730BCC1">
            <w:pPr>
              <w:pStyle w:val="34"/>
              <w:bidi w:val="0"/>
            </w:pPr>
            <w:r>
              <w:t>℃</w:t>
            </w:r>
          </w:p>
        </w:tc>
        <w:tc>
          <w:tcPr>
            <w:tcW w:w="1959" w:type="dxa"/>
            <w:tcBorders>
              <w:right w:val="nil"/>
            </w:tcBorders>
            <w:vAlign w:val="top"/>
          </w:tcPr>
          <w:p w14:paraId="53007F75">
            <w:pPr>
              <w:pStyle w:val="34"/>
              <w:bidi w:val="0"/>
            </w:pPr>
            <w:r>
              <w:t>-3.90</w:t>
            </w:r>
          </w:p>
        </w:tc>
      </w:tr>
      <w:tr w14:paraId="71C6CB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332" w:type="dxa"/>
            <w:tcBorders>
              <w:left w:val="nil"/>
            </w:tcBorders>
            <w:vAlign w:val="top"/>
          </w:tcPr>
          <w:p w14:paraId="7AD763CA">
            <w:pPr>
              <w:pStyle w:val="34"/>
              <w:bidi w:val="0"/>
            </w:pPr>
            <w:r>
              <w:t>4</w:t>
            </w:r>
          </w:p>
        </w:tc>
        <w:tc>
          <w:tcPr>
            <w:tcW w:w="4611" w:type="dxa"/>
            <w:vAlign w:val="top"/>
          </w:tcPr>
          <w:p w14:paraId="181752D7">
            <w:pPr>
              <w:pStyle w:val="34"/>
              <w:bidi w:val="0"/>
            </w:pPr>
            <w:r>
              <w:t>多年平均风速</w:t>
            </w:r>
          </w:p>
        </w:tc>
        <w:tc>
          <w:tcPr>
            <w:tcW w:w="1394" w:type="dxa"/>
            <w:vAlign w:val="top"/>
          </w:tcPr>
          <w:p w14:paraId="3D5D4389">
            <w:pPr>
              <w:pStyle w:val="34"/>
              <w:bidi w:val="0"/>
            </w:pPr>
            <w:r>
              <w:t>m/s</w:t>
            </w:r>
          </w:p>
        </w:tc>
        <w:tc>
          <w:tcPr>
            <w:tcW w:w="1959" w:type="dxa"/>
            <w:tcBorders>
              <w:right w:val="nil"/>
            </w:tcBorders>
            <w:vAlign w:val="top"/>
          </w:tcPr>
          <w:p w14:paraId="4F7D1226">
            <w:pPr>
              <w:pStyle w:val="34"/>
              <w:bidi w:val="0"/>
            </w:pPr>
            <w:r>
              <w:t>1.7</w:t>
            </w:r>
          </w:p>
        </w:tc>
      </w:tr>
      <w:tr w14:paraId="6800A5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 w:hRule="atLeast"/>
        </w:trPr>
        <w:tc>
          <w:tcPr>
            <w:tcW w:w="1332" w:type="dxa"/>
            <w:tcBorders>
              <w:left w:val="nil"/>
            </w:tcBorders>
            <w:vAlign w:val="top"/>
          </w:tcPr>
          <w:p w14:paraId="03EBB069">
            <w:pPr>
              <w:pStyle w:val="34"/>
              <w:bidi w:val="0"/>
            </w:pPr>
            <w:r>
              <w:t>5</w:t>
            </w:r>
          </w:p>
        </w:tc>
        <w:tc>
          <w:tcPr>
            <w:tcW w:w="4611" w:type="dxa"/>
            <w:vAlign w:val="top"/>
          </w:tcPr>
          <w:p w14:paraId="69E1B6CD">
            <w:pPr>
              <w:pStyle w:val="34"/>
              <w:bidi w:val="0"/>
            </w:pPr>
            <w:r>
              <w:t>历年最大风速</w:t>
            </w:r>
          </w:p>
        </w:tc>
        <w:tc>
          <w:tcPr>
            <w:tcW w:w="1394" w:type="dxa"/>
            <w:vAlign w:val="top"/>
          </w:tcPr>
          <w:p w14:paraId="2704B8FF">
            <w:pPr>
              <w:pStyle w:val="34"/>
              <w:bidi w:val="0"/>
            </w:pPr>
            <w:r>
              <w:t>m/s</w:t>
            </w:r>
          </w:p>
        </w:tc>
        <w:tc>
          <w:tcPr>
            <w:tcW w:w="1959" w:type="dxa"/>
            <w:tcBorders>
              <w:right w:val="nil"/>
            </w:tcBorders>
            <w:vAlign w:val="top"/>
          </w:tcPr>
          <w:p w14:paraId="20C919DC">
            <w:pPr>
              <w:pStyle w:val="34"/>
              <w:bidi w:val="0"/>
            </w:pPr>
            <w:r>
              <w:t>15.5</w:t>
            </w:r>
          </w:p>
        </w:tc>
      </w:tr>
      <w:tr w14:paraId="12C843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 w:hRule="atLeast"/>
        </w:trPr>
        <w:tc>
          <w:tcPr>
            <w:tcW w:w="1332" w:type="dxa"/>
            <w:tcBorders>
              <w:left w:val="nil"/>
            </w:tcBorders>
            <w:vAlign w:val="top"/>
          </w:tcPr>
          <w:p w14:paraId="2261AC7B">
            <w:pPr>
              <w:pStyle w:val="34"/>
              <w:bidi w:val="0"/>
            </w:pPr>
            <w:r>
              <w:t>6</w:t>
            </w:r>
          </w:p>
        </w:tc>
        <w:tc>
          <w:tcPr>
            <w:tcW w:w="4611" w:type="dxa"/>
            <w:vAlign w:val="top"/>
          </w:tcPr>
          <w:p w14:paraId="01592927">
            <w:pPr>
              <w:pStyle w:val="34"/>
              <w:bidi w:val="0"/>
            </w:pPr>
            <w:r>
              <w:t>多年平均降雨量</w:t>
            </w:r>
          </w:p>
        </w:tc>
        <w:tc>
          <w:tcPr>
            <w:tcW w:w="1394" w:type="dxa"/>
            <w:vAlign w:val="top"/>
          </w:tcPr>
          <w:p w14:paraId="5AA7C778">
            <w:pPr>
              <w:pStyle w:val="34"/>
              <w:bidi w:val="0"/>
            </w:pPr>
            <w:r>
              <w:t>mm</w:t>
            </w:r>
          </w:p>
        </w:tc>
        <w:tc>
          <w:tcPr>
            <w:tcW w:w="1959" w:type="dxa"/>
            <w:tcBorders>
              <w:right w:val="nil"/>
            </w:tcBorders>
            <w:vAlign w:val="top"/>
          </w:tcPr>
          <w:p w14:paraId="216062F5">
            <w:pPr>
              <w:pStyle w:val="34"/>
              <w:bidi w:val="0"/>
            </w:pPr>
            <w:r>
              <w:t>1732.4</w:t>
            </w:r>
          </w:p>
        </w:tc>
      </w:tr>
      <w:tr w14:paraId="0DF5BB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 w:hRule="atLeast"/>
        </w:trPr>
        <w:tc>
          <w:tcPr>
            <w:tcW w:w="1332" w:type="dxa"/>
            <w:tcBorders>
              <w:left w:val="nil"/>
            </w:tcBorders>
            <w:vAlign w:val="top"/>
          </w:tcPr>
          <w:p w14:paraId="116DD3F7">
            <w:pPr>
              <w:pStyle w:val="34"/>
              <w:bidi w:val="0"/>
            </w:pPr>
            <w:r>
              <w:t>7</w:t>
            </w:r>
          </w:p>
        </w:tc>
        <w:tc>
          <w:tcPr>
            <w:tcW w:w="4611" w:type="dxa"/>
            <w:vAlign w:val="top"/>
          </w:tcPr>
          <w:p w14:paraId="1C7F57EC">
            <w:pPr>
              <w:pStyle w:val="34"/>
              <w:bidi w:val="0"/>
            </w:pPr>
            <w:r>
              <w:t>5 年一遇 10min 平均最大降雨量</w:t>
            </w:r>
          </w:p>
        </w:tc>
        <w:tc>
          <w:tcPr>
            <w:tcW w:w="1394" w:type="dxa"/>
            <w:vAlign w:val="top"/>
          </w:tcPr>
          <w:p w14:paraId="40447C52">
            <w:pPr>
              <w:pStyle w:val="34"/>
              <w:bidi w:val="0"/>
            </w:pPr>
            <w:r>
              <w:t>mm</w:t>
            </w:r>
          </w:p>
        </w:tc>
        <w:tc>
          <w:tcPr>
            <w:tcW w:w="1959" w:type="dxa"/>
            <w:tcBorders>
              <w:right w:val="nil"/>
            </w:tcBorders>
            <w:vAlign w:val="top"/>
          </w:tcPr>
          <w:p w14:paraId="26B76A2B">
            <w:pPr>
              <w:pStyle w:val="34"/>
              <w:bidi w:val="0"/>
            </w:pPr>
            <w:r>
              <w:t>20</w:t>
            </w:r>
          </w:p>
        </w:tc>
      </w:tr>
      <w:tr w14:paraId="39805D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 w:hRule="atLeast"/>
        </w:trPr>
        <w:tc>
          <w:tcPr>
            <w:tcW w:w="1332" w:type="dxa"/>
            <w:tcBorders>
              <w:left w:val="nil"/>
            </w:tcBorders>
            <w:vAlign w:val="top"/>
          </w:tcPr>
          <w:p w14:paraId="0BD7687C">
            <w:pPr>
              <w:pStyle w:val="34"/>
              <w:bidi w:val="0"/>
            </w:pPr>
            <w:r>
              <w:t>8</w:t>
            </w:r>
          </w:p>
        </w:tc>
        <w:tc>
          <w:tcPr>
            <w:tcW w:w="4611" w:type="dxa"/>
            <w:vAlign w:val="top"/>
          </w:tcPr>
          <w:p w14:paraId="30915C23">
            <w:pPr>
              <w:pStyle w:val="34"/>
              <w:bidi w:val="0"/>
            </w:pPr>
            <w:r>
              <w:t>20 年一遇 10min 平均最大降雨量</w:t>
            </w:r>
          </w:p>
        </w:tc>
        <w:tc>
          <w:tcPr>
            <w:tcW w:w="1394" w:type="dxa"/>
            <w:vAlign w:val="top"/>
          </w:tcPr>
          <w:p w14:paraId="08AFB540">
            <w:pPr>
              <w:pStyle w:val="34"/>
              <w:bidi w:val="0"/>
            </w:pPr>
            <w:r>
              <w:t>mm</w:t>
            </w:r>
          </w:p>
        </w:tc>
        <w:tc>
          <w:tcPr>
            <w:tcW w:w="1959" w:type="dxa"/>
            <w:tcBorders>
              <w:right w:val="nil"/>
            </w:tcBorders>
            <w:vAlign w:val="top"/>
          </w:tcPr>
          <w:p w14:paraId="30C520D6">
            <w:pPr>
              <w:pStyle w:val="34"/>
              <w:bidi w:val="0"/>
            </w:pPr>
            <w:r>
              <w:t>140</w:t>
            </w:r>
          </w:p>
        </w:tc>
      </w:tr>
      <w:tr w14:paraId="0E1AF5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1" w:hRule="atLeast"/>
        </w:trPr>
        <w:tc>
          <w:tcPr>
            <w:tcW w:w="1332" w:type="dxa"/>
            <w:tcBorders>
              <w:left w:val="nil"/>
            </w:tcBorders>
            <w:vAlign w:val="top"/>
          </w:tcPr>
          <w:p w14:paraId="2A548146">
            <w:pPr>
              <w:pStyle w:val="34"/>
              <w:bidi w:val="0"/>
            </w:pPr>
            <w:r>
              <w:t>9</w:t>
            </w:r>
          </w:p>
        </w:tc>
        <w:tc>
          <w:tcPr>
            <w:tcW w:w="4611" w:type="dxa"/>
            <w:vAlign w:val="top"/>
          </w:tcPr>
          <w:p w14:paraId="4E879295">
            <w:pPr>
              <w:pStyle w:val="34"/>
              <w:bidi w:val="0"/>
            </w:pPr>
            <w:r>
              <w:t>20 年一遇 24 小时平均最大降雨量</w:t>
            </w:r>
          </w:p>
        </w:tc>
        <w:tc>
          <w:tcPr>
            <w:tcW w:w="1394" w:type="dxa"/>
            <w:vAlign w:val="top"/>
          </w:tcPr>
          <w:p w14:paraId="30286642">
            <w:pPr>
              <w:pStyle w:val="34"/>
              <w:bidi w:val="0"/>
            </w:pPr>
            <w:r>
              <w:t>mm</w:t>
            </w:r>
          </w:p>
        </w:tc>
        <w:tc>
          <w:tcPr>
            <w:tcW w:w="1959" w:type="dxa"/>
            <w:tcBorders>
              <w:right w:val="nil"/>
            </w:tcBorders>
            <w:vAlign w:val="top"/>
          </w:tcPr>
          <w:p w14:paraId="07C68E22">
            <w:pPr>
              <w:pStyle w:val="34"/>
              <w:bidi w:val="0"/>
            </w:pPr>
            <w:r>
              <w:t>201.5</w:t>
            </w:r>
          </w:p>
        </w:tc>
      </w:tr>
      <w:tr w14:paraId="36B236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 w:hRule="atLeast"/>
        </w:trPr>
        <w:tc>
          <w:tcPr>
            <w:tcW w:w="1332" w:type="dxa"/>
            <w:tcBorders>
              <w:left w:val="nil"/>
            </w:tcBorders>
            <w:vAlign w:val="top"/>
          </w:tcPr>
          <w:p w14:paraId="1B46146C">
            <w:pPr>
              <w:pStyle w:val="34"/>
              <w:bidi w:val="0"/>
            </w:pPr>
            <w:r>
              <w:t>10</w:t>
            </w:r>
          </w:p>
        </w:tc>
        <w:tc>
          <w:tcPr>
            <w:tcW w:w="4611" w:type="dxa"/>
            <w:vAlign w:val="top"/>
          </w:tcPr>
          <w:p w14:paraId="1D8FA4AD">
            <w:pPr>
              <w:pStyle w:val="34"/>
              <w:bidi w:val="0"/>
            </w:pPr>
            <w:r>
              <w:t>多年平均相对湿度</w:t>
            </w:r>
          </w:p>
        </w:tc>
        <w:tc>
          <w:tcPr>
            <w:tcW w:w="1394" w:type="dxa"/>
            <w:vAlign w:val="top"/>
          </w:tcPr>
          <w:p w14:paraId="4A39CAA5">
            <w:pPr>
              <w:pStyle w:val="34"/>
              <w:bidi w:val="0"/>
            </w:pPr>
            <w:r>
              <w:t>%</w:t>
            </w:r>
          </w:p>
        </w:tc>
        <w:tc>
          <w:tcPr>
            <w:tcW w:w="1959" w:type="dxa"/>
            <w:tcBorders>
              <w:right w:val="nil"/>
            </w:tcBorders>
            <w:vAlign w:val="top"/>
          </w:tcPr>
          <w:p w14:paraId="37508C66">
            <w:pPr>
              <w:pStyle w:val="34"/>
              <w:bidi w:val="0"/>
            </w:pPr>
            <w:r>
              <w:t>79</w:t>
            </w:r>
          </w:p>
        </w:tc>
      </w:tr>
      <w:tr w14:paraId="0A851D5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332" w:type="dxa"/>
            <w:tcBorders>
              <w:left w:val="nil"/>
            </w:tcBorders>
            <w:vAlign w:val="top"/>
          </w:tcPr>
          <w:p w14:paraId="7E9F5E2D">
            <w:pPr>
              <w:pStyle w:val="34"/>
              <w:bidi w:val="0"/>
            </w:pPr>
            <w:r>
              <w:t>11</w:t>
            </w:r>
          </w:p>
        </w:tc>
        <w:tc>
          <w:tcPr>
            <w:tcW w:w="4611" w:type="dxa"/>
            <w:vAlign w:val="top"/>
          </w:tcPr>
          <w:p w14:paraId="1825C9B4">
            <w:pPr>
              <w:pStyle w:val="34"/>
              <w:bidi w:val="0"/>
            </w:pPr>
            <w:r>
              <w:t>多年平均雷暴日数</w:t>
            </w:r>
          </w:p>
        </w:tc>
        <w:tc>
          <w:tcPr>
            <w:tcW w:w="1394" w:type="dxa"/>
            <w:vAlign w:val="top"/>
          </w:tcPr>
          <w:p w14:paraId="077425B0">
            <w:pPr>
              <w:pStyle w:val="34"/>
              <w:bidi w:val="0"/>
            </w:pPr>
            <w:r>
              <w:t>d</w:t>
            </w:r>
          </w:p>
        </w:tc>
        <w:tc>
          <w:tcPr>
            <w:tcW w:w="1959" w:type="dxa"/>
            <w:tcBorders>
              <w:right w:val="nil"/>
            </w:tcBorders>
            <w:vAlign w:val="top"/>
          </w:tcPr>
          <w:p w14:paraId="0A84CBCD">
            <w:pPr>
              <w:pStyle w:val="34"/>
              <w:bidi w:val="0"/>
            </w:pPr>
            <w:r>
              <w:t>31.5</w:t>
            </w:r>
          </w:p>
        </w:tc>
      </w:tr>
      <w:tr w14:paraId="12828B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7" w:hRule="atLeast"/>
        </w:trPr>
        <w:tc>
          <w:tcPr>
            <w:tcW w:w="1332" w:type="dxa"/>
            <w:tcBorders>
              <w:left w:val="nil"/>
              <w:bottom w:val="single" w:color="000000" w:sz="10" w:space="0"/>
            </w:tcBorders>
            <w:vAlign w:val="top"/>
          </w:tcPr>
          <w:p w14:paraId="1F0AAF6C">
            <w:pPr>
              <w:pStyle w:val="34"/>
              <w:bidi w:val="0"/>
            </w:pPr>
            <w:r>
              <w:t>12</w:t>
            </w:r>
          </w:p>
        </w:tc>
        <w:tc>
          <w:tcPr>
            <w:tcW w:w="4611" w:type="dxa"/>
            <w:tcBorders>
              <w:bottom w:val="single" w:color="000000" w:sz="10" w:space="0"/>
            </w:tcBorders>
            <w:vAlign w:val="top"/>
          </w:tcPr>
          <w:p w14:paraId="78C5DCEA">
            <w:pPr>
              <w:pStyle w:val="34"/>
              <w:bidi w:val="0"/>
            </w:pPr>
            <w:r>
              <w:t>≥10℃积温</w:t>
            </w:r>
          </w:p>
        </w:tc>
        <w:tc>
          <w:tcPr>
            <w:tcW w:w="1394" w:type="dxa"/>
            <w:tcBorders>
              <w:bottom w:val="single" w:color="000000" w:sz="10" w:space="0"/>
            </w:tcBorders>
            <w:vAlign w:val="top"/>
          </w:tcPr>
          <w:p w14:paraId="15FCC9B2">
            <w:pPr>
              <w:pStyle w:val="34"/>
              <w:bidi w:val="0"/>
            </w:pPr>
            <w:r>
              <w:t>℃</w:t>
            </w:r>
          </w:p>
        </w:tc>
        <w:tc>
          <w:tcPr>
            <w:tcW w:w="1959" w:type="dxa"/>
            <w:tcBorders>
              <w:bottom w:val="single" w:color="000000" w:sz="10" w:space="0"/>
              <w:right w:val="nil"/>
            </w:tcBorders>
            <w:vAlign w:val="top"/>
          </w:tcPr>
          <w:p w14:paraId="33FF6BB8">
            <w:pPr>
              <w:pStyle w:val="34"/>
              <w:bidi w:val="0"/>
            </w:pPr>
            <w:r>
              <w:t>5072</w:t>
            </w:r>
          </w:p>
        </w:tc>
      </w:tr>
    </w:tbl>
    <w:p w14:paraId="6738B625">
      <w:pPr>
        <w:pStyle w:val="35"/>
        <w:bidi w:val="0"/>
        <w:rPr>
          <w:rFonts w:ascii="仿宋" w:hAnsi="仿宋" w:eastAsia="仿宋" w:cs="仿宋"/>
          <w:sz w:val="21"/>
          <w:szCs w:val="21"/>
        </w:rPr>
      </w:pPr>
      <w:r>
        <w:rPr>
          <w:rFonts w:ascii="仿宋" w:hAnsi="仿宋" w:eastAsia="仿宋" w:cs="仿宋"/>
          <w:b/>
          <w:bCs/>
          <w:spacing w:val="-2"/>
          <w:sz w:val="21"/>
          <w:szCs w:val="21"/>
        </w:rPr>
        <w:t>表</w:t>
      </w:r>
      <w:r>
        <w:rPr>
          <w:rFonts w:ascii="仿宋" w:hAnsi="仿宋" w:eastAsia="仿宋" w:cs="仿宋"/>
          <w:spacing w:val="-40"/>
          <w:sz w:val="21"/>
          <w:szCs w:val="21"/>
        </w:rPr>
        <w:t xml:space="preserve"> </w:t>
      </w:r>
      <w:r>
        <w:rPr>
          <w:b/>
          <w:bCs/>
          <w:spacing w:val="-2"/>
          <w:sz w:val="21"/>
          <w:szCs w:val="21"/>
        </w:rPr>
        <w:t xml:space="preserve">2.7-2    </w:t>
      </w:r>
      <w:r>
        <w:rPr>
          <w:rFonts w:ascii="仿宋" w:hAnsi="仿宋" w:eastAsia="仿宋" w:cs="仿宋"/>
          <w:b/>
          <w:bCs/>
          <w:spacing w:val="-2"/>
          <w:sz w:val="21"/>
          <w:szCs w:val="21"/>
        </w:rPr>
        <w:t>项目区设计最大暴雨参数表</w:t>
      </w:r>
    </w:p>
    <w:p w14:paraId="61C66AD9">
      <w:pPr>
        <w:spacing w:line="131" w:lineRule="exact"/>
      </w:pPr>
    </w:p>
    <w:tbl>
      <w:tblPr>
        <w:tblStyle w:val="97"/>
        <w:tblW w:w="9301"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74"/>
        <w:gridCol w:w="708"/>
        <w:gridCol w:w="566"/>
        <w:gridCol w:w="709"/>
        <w:gridCol w:w="670"/>
        <w:gridCol w:w="948"/>
        <w:gridCol w:w="946"/>
        <w:gridCol w:w="946"/>
        <w:gridCol w:w="946"/>
        <w:gridCol w:w="949"/>
        <w:gridCol w:w="939"/>
      </w:tblGrid>
      <w:tr w14:paraId="683C52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7" w:hRule="atLeast"/>
        </w:trPr>
        <w:tc>
          <w:tcPr>
            <w:tcW w:w="974" w:type="dxa"/>
            <w:vMerge w:val="restart"/>
            <w:tcBorders>
              <w:top w:val="single" w:color="000000" w:sz="10" w:space="0"/>
              <w:left w:val="nil"/>
              <w:bottom w:val="nil"/>
            </w:tcBorders>
            <w:vAlign w:val="top"/>
          </w:tcPr>
          <w:p w14:paraId="354557BA">
            <w:pPr>
              <w:pStyle w:val="34"/>
              <w:bidi w:val="0"/>
            </w:pPr>
            <w:r>
              <w:t>时段</w:t>
            </w:r>
          </w:p>
        </w:tc>
        <w:tc>
          <w:tcPr>
            <w:tcW w:w="708" w:type="dxa"/>
            <w:vMerge w:val="restart"/>
            <w:tcBorders>
              <w:top w:val="single" w:color="000000" w:sz="10" w:space="0"/>
              <w:bottom w:val="nil"/>
            </w:tcBorders>
            <w:vAlign w:val="top"/>
          </w:tcPr>
          <w:p w14:paraId="2E67A780">
            <w:pPr>
              <w:pStyle w:val="34"/>
              <w:bidi w:val="0"/>
            </w:pPr>
            <w:r>
              <w:t>均值</w:t>
            </w:r>
          </w:p>
        </w:tc>
        <w:tc>
          <w:tcPr>
            <w:tcW w:w="566" w:type="dxa"/>
            <w:vMerge w:val="restart"/>
            <w:tcBorders>
              <w:top w:val="single" w:color="000000" w:sz="10" w:space="0"/>
              <w:bottom w:val="nil"/>
            </w:tcBorders>
            <w:vAlign w:val="top"/>
          </w:tcPr>
          <w:p w14:paraId="1C43AA28">
            <w:pPr>
              <w:pStyle w:val="34"/>
              <w:bidi w:val="0"/>
            </w:pPr>
            <w:r>
              <w:t>Cv</w:t>
            </w:r>
          </w:p>
        </w:tc>
        <w:tc>
          <w:tcPr>
            <w:tcW w:w="709" w:type="dxa"/>
            <w:vMerge w:val="restart"/>
            <w:tcBorders>
              <w:top w:val="single" w:color="000000" w:sz="10" w:space="0"/>
              <w:bottom w:val="nil"/>
            </w:tcBorders>
            <w:vAlign w:val="top"/>
          </w:tcPr>
          <w:p w14:paraId="3EB5326B">
            <w:pPr>
              <w:pStyle w:val="34"/>
              <w:bidi w:val="0"/>
            </w:pPr>
            <w:r>
              <w:t>Cs/Cv</w:t>
            </w:r>
          </w:p>
        </w:tc>
        <w:tc>
          <w:tcPr>
            <w:tcW w:w="6344" w:type="dxa"/>
            <w:gridSpan w:val="7"/>
            <w:tcBorders>
              <w:top w:val="single" w:color="000000" w:sz="10" w:space="0"/>
              <w:right w:val="nil"/>
            </w:tcBorders>
            <w:vAlign w:val="top"/>
          </w:tcPr>
          <w:p w14:paraId="2C965DE1">
            <w:pPr>
              <w:pStyle w:val="34"/>
              <w:bidi w:val="0"/>
            </w:pPr>
            <w:r>
              <w:t>各频率设计值 Xp(mm)</w:t>
            </w:r>
          </w:p>
        </w:tc>
      </w:tr>
      <w:tr w14:paraId="7EBE2A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0" w:hRule="atLeast"/>
        </w:trPr>
        <w:tc>
          <w:tcPr>
            <w:tcW w:w="974" w:type="dxa"/>
            <w:vMerge w:val="continue"/>
            <w:tcBorders>
              <w:top w:val="nil"/>
              <w:left w:val="nil"/>
            </w:tcBorders>
            <w:vAlign w:val="top"/>
          </w:tcPr>
          <w:p w14:paraId="68309854">
            <w:pPr>
              <w:pStyle w:val="34"/>
              <w:bidi w:val="0"/>
            </w:pPr>
          </w:p>
        </w:tc>
        <w:tc>
          <w:tcPr>
            <w:tcW w:w="708" w:type="dxa"/>
            <w:vMerge w:val="continue"/>
            <w:tcBorders>
              <w:top w:val="nil"/>
            </w:tcBorders>
            <w:vAlign w:val="top"/>
          </w:tcPr>
          <w:p w14:paraId="3375B59D">
            <w:pPr>
              <w:pStyle w:val="34"/>
              <w:bidi w:val="0"/>
            </w:pPr>
          </w:p>
        </w:tc>
        <w:tc>
          <w:tcPr>
            <w:tcW w:w="566" w:type="dxa"/>
            <w:vMerge w:val="continue"/>
            <w:tcBorders>
              <w:top w:val="nil"/>
            </w:tcBorders>
            <w:vAlign w:val="top"/>
          </w:tcPr>
          <w:p w14:paraId="1000A1FE">
            <w:pPr>
              <w:pStyle w:val="34"/>
              <w:bidi w:val="0"/>
            </w:pPr>
          </w:p>
        </w:tc>
        <w:tc>
          <w:tcPr>
            <w:tcW w:w="709" w:type="dxa"/>
            <w:vMerge w:val="continue"/>
            <w:tcBorders>
              <w:top w:val="nil"/>
            </w:tcBorders>
            <w:vAlign w:val="top"/>
          </w:tcPr>
          <w:p w14:paraId="36F36EC3">
            <w:pPr>
              <w:pStyle w:val="34"/>
              <w:bidi w:val="0"/>
            </w:pPr>
          </w:p>
        </w:tc>
        <w:tc>
          <w:tcPr>
            <w:tcW w:w="670" w:type="dxa"/>
            <w:vAlign w:val="top"/>
          </w:tcPr>
          <w:p w14:paraId="544A9A5F">
            <w:pPr>
              <w:pStyle w:val="34"/>
              <w:bidi w:val="0"/>
            </w:pPr>
            <w:r>
              <w:t>p=2%</w:t>
            </w:r>
          </w:p>
        </w:tc>
        <w:tc>
          <w:tcPr>
            <w:tcW w:w="948" w:type="dxa"/>
            <w:vAlign w:val="top"/>
          </w:tcPr>
          <w:p w14:paraId="32F92BA5">
            <w:pPr>
              <w:pStyle w:val="34"/>
              <w:bidi w:val="0"/>
            </w:pPr>
            <w:r>
              <w:t>p=3.3%</w:t>
            </w:r>
          </w:p>
        </w:tc>
        <w:tc>
          <w:tcPr>
            <w:tcW w:w="946" w:type="dxa"/>
            <w:vAlign w:val="top"/>
          </w:tcPr>
          <w:p w14:paraId="36298A44">
            <w:pPr>
              <w:pStyle w:val="34"/>
              <w:bidi w:val="0"/>
            </w:pPr>
            <w:r>
              <w:t>p=5%</w:t>
            </w:r>
          </w:p>
        </w:tc>
        <w:tc>
          <w:tcPr>
            <w:tcW w:w="946" w:type="dxa"/>
            <w:vAlign w:val="top"/>
          </w:tcPr>
          <w:p w14:paraId="6F8CF35F">
            <w:pPr>
              <w:pStyle w:val="34"/>
              <w:bidi w:val="0"/>
            </w:pPr>
            <w:r>
              <w:t>p=10%</w:t>
            </w:r>
          </w:p>
        </w:tc>
        <w:tc>
          <w:tcPr>
            <w:tcW w:w="946" w:type="dxa"/>
            <w:vAlign w:val="top"/>
          </w:tcPr>
          <w:p w14:paraId="741DFA8D">
            <w:pPr>
              <w:pStyle w:val="34"/>
              <w:bidi w:val="0"/>
            </w:pPr>
            <w:r>
              <w:t>p=20%</w:t>
            </w:r>
          </w:p>
        </w:tc>
        <w:tc>
          <w:tcPr>
            <w:tcW w:w="949" w:type="dxa"/>
            <w:vAlign w:val="top"/>
          </w:tcPr>
          <w:p w14:paraId="2C84E880">
            <w:pPr>
              <w:pStyle w:val="34"/>
              <w:bidi w:val="0"/>
            </w:pPr>
            <w:r>
              <w:t>p=33.3%</w:t>
            </w:r>
          </w:p>
        </w:tc>
        <w:tc>
          <w:tcPr>
            <w:tcW w:w="939" w:type="dxa"/>
            <w:tcBorders>
              <w:right w:val="nil"/>
            </w:tcBorders>
            <w:vAlign w:val="top"/>
          </w:tcPr>
          <w:p w14:paraId="751E68DA">
            <w:pPr>
              <w:pStyle w:val="34"/>
              <w:bidi w:val="0"/>
            </w:pPr>
            <w:r>
              <w:t>p=50%</w:t>
            </w:r>
          </w:p>
        </w:tc>
      </w:tr>
      <w:tr w14:paraId="112019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4" w:hRule="atLeast"/>
        </w:trPr>
        <w:tc>
          <w:tcPr>
            <w:tcW w:w="974" w:type="dxa"/>
            <w:tcBorders>
              <w:left w:val="nil"/>
            </w:tcBorders>
            <w:vAlign w:val="top"/>
          </w:tcPr>
          <w:p w14:paraId="1FEF9CDC">
            <w:pPr>
              <w:pStyle w:val="34"/>
              <w:bidi w:val="0"/>
            </w:pPr>
            <w:r>
              <w:t>1/6 小时</w:t>
            </w:r>
          </w:p>
        </w:tc>
        <w:tc>
          <w:tcPr>
            <w:tcW w:w="708" w:type="dxa"/>
            <w:vAlign w:val="top"/>
          </w:tcPr>
          <w:p w14:paraId="6A172297">
            <w:pPr>
              <w:pStyle w:val="34"/>
              <w:bidi w:val="0"/>
            </w:pPr>
            <w:r>
              <w:t>16.0</w:t>
            </w:r>
          </w:p>
        </w:tc>
        <w:tc>
          <w:tcPr>
            <w:tcW w:w="566" w:type="dxa"/>
            <w:vAlign w:val="top"/>
          </w:tcPr>
          <w:p w14:paraId="7434B9B3">
            <w:pPr>
              <w:pStyle w:val="34"/>
              <w:bidi w:val="0"/>
            </w:pPr>
            <w:r>
              <w:t>0.30</w:t>
            </w:r>
          </w:p>
        </w:tc>
        <w:tc>
          <w:tcPr>
            <w:tcW w:w="709" w:type="dxa"/>
            <w:vAlign w:val="top"/>
          </w:tcPr>
          <w:p w14:paraId="7DC4B4B9">
            <w:pPr>
              <w:pStyle w:val="34"/>
              <w:bidi w:val="0"/>
            </w:pPr>
            <w:r>
              <w:t>3.50</w:t>
            </w:r>
          </w:p>
        </w:tc>
        <w:tc>
          <w:tcPr>
            <w:tcW w:w="670" w:type="dxa"/>
            <w:vAlign w:val="top"/>
          </w:tcPr>
          <w:p w14:paraId="68E2EF5A">
            <w:pPr>
              <w:pStyle w:val="34"/>
              <w:bidi w:val="0"/>
            </w:pPr>
            <w:r>
              <w:t>28.3</w:t>
            </w:r>
          </w:p>
        </w:tc>
        <w:tc>
          <w:tcPr>
            <w:tcW w:w="948" w:type="dxa"/>
            <w:vAlign w:val="top"/>
          </w:tcPr>
          <w:p w14:paraId="26E1B3EC">
            <w:pPr>
              <w:pStyle w:val="34"/>
              <w:bidi w:val="0"/>
            </w:pPr>
            <w:r>
              <w:t>26.5</w:t>
            </w:r>
          </w:p>
        </w:tc>
        <w:tc>
          <w:tcPr>
            <w:tcW w:w="946" w:type="dxa"/>
            <w:vAlign w:val="top"/>
          </w:tcPr>
          <w:p w14:paraId="3EC69D17">
            <w:pPr>
              <w:pStyle w:val="34"/>
              <w:bidi w:val="0"/>
            </w:pPr>
            <w:r>
              <w:t>25.1</w:t>
            </w:r>
          </w:p>
        </w:tc>
        <w:tc>
          <w:tcPr>
            <w:tcW w:w="946" w:type="dxa"/>
            <w:vAlign w:val="top"/>
          </w:tcPr>
          <w:p w14:paraId="39546484">
            <w:pPr>
              <w:pStyle w:val="34"/>
              <w:bidi w:val="0"/>
            </w:pPr>
            <w:r>
              <w:t>22.4</w:t>
            </w:r>
          </w:p>
        </w:tc>
        <w:tc>
          <w:tcPr>
            <w:tcW w:w="946" w:type="dxa"/>
            <w:vAlign w:val="top"/>
          </w:tcPr>
          <w:p w14:paraId="3EBFAF09">
            <w:pPr>
              <w:pStyle w:val="34"/>
              <w:bidi w:val="0"/>
            </w:pPr>
            <w:r>
              <w:t>19.6</w:t>
            </w:r>
          </w:p>
        </w:tc>
        <w:tc>
          <w:tcPr>
            <w:tcW w:w="949" w:type="dxa"/>
            <w:vAlign w:val="top"/>
          </w:tcPr>
          <w:p w14:paraId="76D2A9AB">
            <w:pPr>
              <w:pStyle w:val="34"/>
              <w:bidi w:val="0"/>
            </w:pPr>
            <w:r>
              <w:t>17.3</w:t>
            </w:r>
          </w:p>
        </w:tc>
        <w:tc>
          <w:tcPr>
            <w:tcW w:w="939" w:type="dxa"/>
            <w:tcBorders>
              <w:right w:val="nil"/>
            </w:tcBorders>
            <w:vAlign w:val="top"/>
          </w:tcPr>
          <w:p w14:paraId="768EF78F">
            <w:pPr>
              <w:pStyle w:val="34"/>
              <w:bidi w:val="0"/>
            </w:pPr>
            <w:r>
              <w:t>15.2</w:t>
            </w:r>
          </w:p>
        </w:tc>
      </w:tr>
      <w:tr w14:paraId="7D0391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5" w:hRule="atLeast"/>
        </w:trPr>
        <w:tc>
          <w:tcPr>
            <w:tcW w:w="974" w:type="dxa"/>
            <w:tcBorders>
              <w:left w:val="nil"/>
            </w:tcBorders>
            <w:vAlign w:val="top"/>
          </w:tcPr>
          <w:p w14:paraId="5B3D9E9B">
            <w:pPr>
              <w:pStyle w:val="34"/>
              <w:bidi w:val="0"/>
            </w:pPr>
            <w:r>
              <w:t>1 小时</w:t>
            </w:r>
          </w:p>
        </w:tc>
        <w:tc>
          <w:tcPr>
            <w:tcW w:w="708" w:type="dxa"/>
            <w:vAlign w:val="top"/>
          </w:tcPr>
          <w:p w14:paraId="2AEE12A9">
            <w:pPr>
              <w:pStyle w:val="34"/>
              <w:bidi w:val="0"/>
            </w:pPr>
            <w:r>
              <w:t>45.0</w:t>
            </w:r>
          </w:p>
        </w:tc>
        <w:tc>
          <w:tcPr>
            <w:tcW w:w="566" w:type="dxa"/>
            <w:vAlign w:val="top"/>
          </w:tcPr>
          <w:p w14:paraId="68CF5C4F">
            <w:pPr>
              <w:pStyle w:val="34"/>
              <w:bidi w:val="0"/>
            </w:pPr>
            <w:r>
              <w:t>0.35</w:t>
            </w:r>
          </w:p>
        </w:tc>
        <w:tc>
          <w:tcPr>
            <w:tcW w:w="709" w:type="dxa"/>
            <w:vAlign w:val="top"/>
          </w:tcPr>
          <w:p w14:paraId="16E7BE5C">
            <w:pPr>
              <w:pStyle w:val="34"/>
              <w:bidi w:val="0"/>
            </w:pPr>
            <w:r>
              <w:t>3.50</w:t>
            </w:r>
          </w:p>
        </w:tc>
        <w:tc>
          <w:tcPr>
            <w:tcW w:w="670" w:type="dxa"/>
            <w:vAlign w:val="top"/>
          </w:tcPr>
          <w:p w14:paraId="2FC6EC3D">
            <w:pPr>
              <w:pStyle w:val="34"/>
              <w:bidi w:val="0"/>
            </w:pPr>
            <w:r>
              <w:t>86.5</w:t>
            </w:r>
          </w:p>
        </w:tc>
        <w:tc>
          <w:tcPr>
            <w:tcW w:w="948" w:type="dxa"/>
            <w:vAlign w:val="top"/>
          </w:tcPr>
          <w:p w14:paraId="2AF1B277">
            <w:pPr>
              <w:pStyle w:val="34"/>
              <w:bidi w:val="0"/>
            </w:pPr>
            <w:r>
              <w:t>80.3</w:t>
            </w:r>
          </w:p>
        </w:tc>
        <w:tc>
          <w:tcPr>
            <w:tcW w:w="946" w:type="dxa"/>
            <w:vAlign w:val="top"/>
          </w:tcPr>
          <w:p w14:paraId="64B7C26B">
            <w:pPr>
              <w:pStyle w:val="34"/>
              <w:bidi w:val="0"/>
            </w:pPr>
            <w:r>
              <w:t>75.1</w:t>
            </w:r>
          </w:p>
        </w:tc>
        <w:tc>
          <w:tcPr>
            <w:tcW w:w="946" w:type="dxa"/>
            <w:vAlign w:val="top"/>
          </w:tcPr>
          <w:p w14:paraId="10B45F39">
            <w:pPr>
              <w:pStyle w:val="34"/>
              <w:bidi w:val="0"/>
            </w:pPr>
            <w:r>
              <w:t>66.1</w:t>
            </w:r>
          </w:p>
        </w:tc>
        <w:tc>
          <w:tcPr>
            <w:tcW w:w="946" w:type="dxa"/>
            <w:vAlign w:val="top"/>
          </w:tcPr>
          <w:p w14:paraId="200B0B22">
            <w:pPr>
              <w:pStyle w:val="34"/>
              <w:bidi w:val="0"/>
            </w:pPr>
            <w:r>
              <w:t>56.5</w:t>
            </w:r>
          </w:p>
        </w:tc>
        <w:tc>
          <w:tcPr>
            <w:tcW w:w="949" w:type="dxa"/>
            <w:vAlign w:val="top"/>
          </w:tcPr>
          <w:p w14:paraId="663DF577">
            <w:pPr>
              <w:pStyle w:val="34"/>
              <w:bidi w:val="0"/>
            </w:pPr>
            <w:r>
              <w:t>48.8</w:t>
            </w:r>
          </w:p>
        </w:tc>
        <w:tc>
          <w:tcPr>
            <w:tcW w:w="939" w:type="dxa"/>
            <w:tcBorders>
              <w:right w:val="nil"/>
            </w:tcBorders>
            <w:vAlign w:val="top"/>
          </w:tcPr>
          <w:p w14:paraId="457FFDEB">
            <w:pPr>
              <w:pStyle w:val="34"/>
              <w:bidi w:val="0"/>
            </w:pPr>
            <w:r>
              <w:t>41.9</w:t>
            </w:r>
          </w:p>
        </w:tc>
      </w:tr>
      <w:tr w14:paraId="62544F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3" w:hRule="atLeast"/>
        </w:trPr>
        <w:tc>
          <w:tcPr>
            <w:tcW w:w="974" w:type="dxa"/>
            <w:tcBorders>
              <w:left w:val="nil"/>
            </w:tcBorders>
            <w:vAlign w:val="top"/>
          </w:tcPr>
          <w:p w14:paraId="1932219C">
            <w:pPr>
              <w:pStyle w:val="34"/>
              <w:bidi w:val="0"/>
            </w:pPr>
            <w:r>
              <w:t>6 小时</w:t>
            </w:r>
          </w:p>
        </w:tc>
        <w:tc>
          <w:tcPr>
            <w:tcW w:w="708" w:type="dxa"/>
            <w:vAlign w:val="top"/>
          </w:tcPr>
          <w:p w14:paraId="4D6CC154">
            <w:pPr>
              <w:pStyle w:val="34"/>
              <w:bidi w:val="0"/>
            </w:pPr>
            <w:r>
              <w:t>75.0</w:t>
            </w:r>
          </w:p>
        </w:tc>
        <w:tc>
          <w:tcPr>
            <w:tcW w:w="566" w:type="dxa"/>
            <w:vAlign w:val="top"/>
          </w:tcPr>
          <w:p w14:paraId="3C2EEC2D">
            <w:pPr>
              <w:pStyle w:val="34"/>
              <w:bidi w:val="0"/>
            </w:pPr>
            <w:r>
              <w:t>0.50</w:t>
            </w:r>
          </w:p>
        </w:tc>
        <w:tc>
          <w:tcPr>
            <w:tcW w:w="709" w:type="dxa"/>
            <w:vAlign w:val="top"/>
          </w:tcPr>
          <w:p w14:paraId="0F919D8F">
            <w:pPr>
              <w:pStyle w:val="34"/>
              <w:bidi w:val="0"/>
            </w:pPr>
            <w:r>
              <w:t>3.50</w:t>
            </w:r>
          </w:p>
        </w:tc>
        <w:tc>
          <w:tcPr>
            <w:tcW w:w="670" w:type="dxa"/>
            <w:vAlign w:val="top"/>
          </w:tcPr>
          <w:p w14:paraId="78E75041">
            <w:pPr>
              <w:pStyle w:val="34"/>
              <w:bidi w:val="0"/>
            </w:pPr>
            <w:r>
              <w:t>181</w:t>
            </w:r>
          </w:p>
        </w:tc>
        <w:tc>
          <w:tcPr>
            <w:tcW w:w="948" w:type="dxa"/>
            <w:vAlign w:val="top"/>
          </w:tcPr>
          <w:p w14:paraId="1D5BB12F">
            <w:pPr>
              <w:pStyle w:val="34"/>
              <w:bidi w:val="0"/>
            </w:pPr>
            <w:r>
              <w:t>163</w:t>
            </w:r>
          </w:p>
        </w:tc>
        <w:tc>
          <w:tcPr>
            <w:tcW w:w="946" w:type="dxa"/>
            <w:vAlign w:val="top"/>
          </w:tcPr>
          <w:p w14:paraId="6B8737B5">
            <w:pPr>
              <w:pStyle w:val="34"/>
              <w:bidi w:val="0"/>
            </w:pPr>
            <w:r>
              <w:t>149</w:t>
            </w:r>
          </w:p>
        </w:tc>
        <w:tc>
          <w:tcPr>
            <w:tcW w:w="946" w:type="dxa"/>
            <w:vAlign w:val="top"/>
          </w:tcPr>
          <w:p w14:paraId="7933E4CC">
            <w:pPr>
              <w:pStyle w:val="34"/>
              <w:bidi w:val="0"/>
            </w:pPr>
            <w:r>
              <w:t>124</w:t>
            </w:r>
          </w:p>
        </w:tc>
        <w:tc>
          <w:tcPr>
            <w:tcW w:w="946" w:type="dxa"/>
            <w:vAlign w:val="top"/>
          </w:tcPr>
          <w:p w14:paraId="4974AF0F">
            <w:pPr>
              <w:pStyle w:val="34"/>
              <w:bidi w:val="0"/>
            </w:pPr>
            <w:r>
              <w:t>99.4</w:t>
            </w:r>
          </w:p>
        </w:tc>
        <w:tc>
          <w:tcPr>
            <w:tcW w:w="949" w:type="dxa"/>
            <w:vAlign w:val="top"/>
          </w:tcPr>
          <w:p w14:paraId="219AAABB">
            <w:pPr>
              <w:pStyle w:val="34"/>
              <w:bidi w:val="0"/>
            </w:pPr>
            <w:r>
              <w:t>80.4</w:t>
            </w:r>
          </w:p>
        </w:tc>
        <w:tc>
          <w:tcPr>
            <w:tcW w:w="939" w:type="dxa"/>
            <w:tcBorders>
              <w:right w:val="nil"/>
            </w:tcBorders>
            <w:vAlign w:val="top"/>
          </w:tcPr>
          <w:p w14:paraId="02D167F0">
            <w:pPr>
              <w:pStyle w:val="34"/>
              <w:bidi w:val="0"/>
            </w:pPr>
            <w:r>
              <w:t>64.7</w:t>
            </w:r>
          </w:p>
        </w:tc>
      </w:tr>
      <w:tr w14:paraId="3F37B5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9" w:hRule="atLeast"/>
        </w:trPr>
        <w:tc>
          <w:tcPr>
            <w:tcW w:w="974" w:type="dxa"/>
            <w:tcBorders>
              <w:left w:val="nil"/>
              <w:bottom w:val="single" w:color="000000" w:sz="10" w:space="0"/>
            </w:tcBorders>
            <w:vAlign w:val="top"/>
          </w:tcPr>
          <w:p w14:paraId="7B2FC696">
            <w:pPr>
              <w:pStyle w:val="34"/>
              <w:bidi w:val="0"/>
            </w:pPr>
            <w:r>
              <w:t>24 小时</w:t>
            </w:r>
          </w:p>
        </w:tc>
        <w:tc>
          <w:tcPr>
            <w:tcW w:w="708" w:type="dxa"/>
            <w:tcBorders>
              <w:bottom w:val="single" w:color="000000" w:sz="10" w:space="0"/>
            </w:tcBorders>
            <w:vAlign w:val="top"/>
          </w:tcPr>
          <w:p w14:paraId="748D32D0">
            <w:pPr>
              <w:pStyle w:val="34"/>
              <w:bidi w:val="0"/>
            </w:pPr>
            <w:r>
              <w:t>110.0</w:t>
            </w:r>
          </w:p>
        </w:tc>
        <w:tc>
          <w:tcPr>
            <w:tcW w:w="566" w:type="dxa"/>
            <w:tcBorders>
              <w:bottom w:val="single" w:color="000000" w:sz="10" w:space="0"/>
            </w:tcBorders>
            <w:vAlign w:val="top"/>
          </w:tcPr>
          <w:p w14:paraId="2CA43974">
            <w:pPr>
              <w:pStyle w:val="34"/>
              <w:bidi w:val="0"/>
            </w:pPr>
            <w:r>
              <w:t>0.55</w:t>
            </w:r>
          </w:p>
        </w:tc>
        <w:tc>
          <w:tcPr>
            <w:tcW w:w="709" w:type="dxa"/>
            <w:tcBorders>
              <w:bottom w:val="single" w:color="000000" w:sz="10" w:space="0"/>
            </w:tcBorders>
            <w:vAlign w:val="top"/>
          </w:tcPr>
          <w:p w14:paraId="161D7054">
            <w:pPr>
              <w:pStyle w:val="34"/>
              <w:bidi w:val="0"/>
            </w:pPr>
            <w:r>
              <w:t>3.50</w:t>
            </w:r>
          </w:p>
        </w:tc>
        <w:tc>
          <w:tcPr>
            <w:tcW w:w="670" w:type="dxa"/>
            <w:tcBorders>
              <w:bottom w:val="single" w:color="000000" w:sz="10" w:space="0"/>
            </w:tcBorders>
            <w:vAlign w:val="top"/>
          </w:tcPr>
          <w:p w14:paraId="1EAC4A1A">
            <w:pPr>
              <w:pStyle w:val="34"/>
              <w:bidi w:val="0"/>
            </w:pPr>
            <w:r>
              <w:t>284</w:t>
            </w:r>
          </w:p>
        </w:tc>
        <w:tc>
          <w:tcPr>
            <w:tcW w:w="948" w:type="dxa"/>
            <w:tcBorders>
              <w:bottom w:val="single" w:color="000000" w:sz="10" w:space="0"/>
            </w:tcBorders>
            <w:vAlign w:val="top"/>
          </w:tcPr>
          <w:p w14:paraId="002B7A29">
            <w:pPr>
              <w:pStyle w:val="34"/>
              <w:bidi w:val="0"/>
            </w:pPr>
            <w:r>
              <w:t>254</w:t>
            </w:r>
          </w:p>
        </w:tc>
        <w:tc>
          <w:tcPr>
            <w:tcW w:w="946" w:type="dxa"/>
            <w:tcBorders>
              <w:bottom w:val="single" w:color="000000" w:sz="10" w:space="0"/>
            </w:tcBorders>
            <w:vAlign w:val="top"/>
          </w:tcPr>
          <w:p w14:paraId="4774A36C">
            <w:pPr>
              <w:pStyle w:val="34"/>
              <w:bidi w:val="0"/>
            </w:pPr>
            <w:r>
              <w:t>230</w:t>
            </w:r>
          </w:p>
        </w:tc>
        <w:tc>
          <w:tcPr>
            <w:tcW w:w="946" w:type="dxa"/>
            <w:tcBorders>
              <w:bottom w:val="single" w:color="000000" w:sz="10" w:space="0"/>
            </w:tcBorders>
            <w:vAlign w:val="top"/>
          </w:tcPr>
          <w:p w14:paraId="694859ED">
            <w:pPr>
              <w:pStyle w:val="34"/>
              <w:bidi w:val="0"/>
            </w:pPr>
            <w:r>
              <w:t>189</w:t>
            </w:r>
          </w:p>
        </w:tc>
        <w:tc>
          <w:tcPr>
            <w:tcW w:w="946" w:type="dxa"/>
            <w:tcBorders>
              <w:bottom w:val="single" w:color="000000" w:sz="10" w:space="0"/>
            </w:tcBorders>
            <w:vAlign w:val="top"/>
          </w:tcPr>
          <w:p w14:paraId="071670B1">
            <w:pPr>
              <w:pStyle w:val="34"/>
              <w:bidi w:val="0"/>
            </w:pPr>
            <w:r>
              <w:t>147</w:t>
            </w:r>
          </w:p>
        </w:tc>
        <w:tc>
          <w:tcPr>
            <w:tcW w:w="949" w:type="dxa"/>
            <w:tcBorders>
              <w:bottom w:val="single" w:color="000000" w:sz="10" w:space="0"/>
            </w:tcBorders>
            <w:vAlign w:val="top"/>
          </w:tcPr>
          <w:p w14:paraId="21DB45DE">
            <w:pPr>
              <w:pStyle w:val="34"/>
              <w:bidi w:val="0"/>
            </w:pPr>
            <w:r>
              <w:t>116</w:t>
            </w:r>
          </w:p>
        </w:tc>
        <w:tc>
          <w:tcPr>
            <w:tcW w:w="939" w:type="dxa"/>
            <w:tcBorders>
              <w:bottom w:val="single" w:color="000000" w:sz="10" w:space="0"/>
              <w:right w:val="nil"/>
            </w:tcBorders>
            <w:vAlign w:val="top"/>
          </w:tcPr>
          <w:p w14:paraId="46330FE5">
            <w:pPr>
              <w:pStyle w:val="34"/>
              <w:bidi w:val="0"/>
            </w:pPr>
            <w:r>
              <w:t>92.0</w:t>
            </w:r>
          </w:p>
        </w:tc>
      </w:tr>
    </w:tbl>
    <w:p w14:paraId="791CCFA5">
      <w:pPr>
        <w:spacing w:before="26" w:line="217" w:lineRule="auto"/>
        <w:ind w:left="139"/>
        <w:rPr>
          <w:b/>
          <w:bCs/>
          <w:color w:val="auto"/>
          <w:spacing w:val="-4"/>
        </w:rPr>
      </w:pPr>
      <w:r>
        <w:rPr>
          <w:rFonts w:ascii="仿宋" w:hAnsi="仿宋" w:eastAsia="仿宋" w:cs="仿宋"/>
          <w:spacing w:val="-1"/>
          <w:sz w:val="18"/>
          <w:szCs w:val="18"/>
        </w:rPr>
        <w:t>注：上表数据由四川省暴雨统计参数图集查得</w:t>
      </w:r>
    </w:p>
    <w:p w14:paraId="657B1667">
      <w:pPr>
        <w:pStyle w:val="5"/>
        <w:bidi w:val="0"/>
        <w:rPr>
          <w:color w:val="auto"/>
        </w:rPr>
      </w:pPr>
      <w:r>
        <w:rPr>
          <w:color w:val="auto"/>
        </w:rPr>
        <w:t>2.7.5 土壤</w:t>
      </w:r>
    </w:p>
    <w:p w14:paraId="4318613A">
      <w:pPr>
        <w:bidi w:val="0"/>
        <w:rPr>
          <w:rFonts w:hint="eastAsia"/>
        </w:rPr>
      </w:pPr>
      <w:r>
        <w:rPr>
          <w:rFonts w:hint="eastAsia"/>
        </w:rPr>
        <w:t>雅安市土壤类型属亚热带气候红黄土壤带，垂直分布明显，土壤可归并为9 个土类， 13个亚类，29个土属，88个上种，162个变种。主要土壤类型有冲击性水稻土、紫 色土性水稻土、黄壤性水稻土、紫色土上、黄壤、石灰土项目区主要的土壤类型为灰色 冲积型水稻。水稻土由多种母质形成和各母质的上壤长期水耕熟化发育而成，分布广泛， 土层厚度为60~80cm，质地均匀，有机质及养分含量较高，土壤抗蚀性较强。</w:t>
      </w:r>
    </w:p>
    <w:p w14:paraId="1E07EBF8">
      <w:pPr>
        <w:bidi w:val="0"/>
        <w:rPr>
          <w:rFonts w:hint="eastAsia"/>
        </w:rPr>
      </w:pPr>
      <w:r>
        <w:rPr>
          <w:rFonts w:hint="eastAsia"/>
        </w:rPr>
        <w:t>工程区土壤类型以黄壤土为主，根据调查，工程开工建设前</w:t>
      </w:r>
      <w:r>
        <w:rPr>
          <w:rFonts w:hint="eastAsia"/>
          <w:lang w:val="en-US" w:eastAsia="zh-CN"/>
        </w:rPr>
        <w:t>已由政府统一进行场平，本项目内无可剥离表土，</w:t>
      </w:r>
      <w:r>
        <w:rPr>
          <w:rFonts w:hint="eastAsia"/>
        </w:rPr>
        <w:t>不具备表土剥离条件。</w:t>
      </w:r>
    </w:p>
    <w:p w14:paraId="4E9F7459">
      <w:pPr>
        <w:pStyle w:val="5"/>
        <w:bidi w:val="0"/>
        <w:rPr>
          <w:color w:val="auto"/>
        </w:rPr>
      </w:pPr>
      <w:r>
        <w:rPr>
          <w:color w:val="auto"/>
        </w:rPr>
        <w:t>2.7.6 植被</w:t>
      </w:r>
    </w:p>
    <w:p w14:paraId="37AD51FA">
      <w:pPr>
        <w:bidi w:val="0"/>
        <w:rPr>
          <w:rFonts w:hint="eastAsia"/>
        </w:rPr>
      </w:pPr>
      <w:r>
        <w:rPr>
          <w:rFonts w:hint="eastAsia"/>
        </w:rPr>
        <w:t>项目区植被类型属亚热带常绿阔叶林，森林覆盖率48%。树种有松科、杉科、柏 科、银杏科等45个科。珍稀生物有古茶树、千年银杏、珙桐、千佛菌、兰花、白燕等10余种。其林种、树种的分布情况如下：</w:t>
      </w:r>
    </w:p>
    <w:p w14:paraId="670976CC">
      <w:pPr>
        <w:bidi w:val="0"/>
        <w:rPr>
          <w:rFonts w:hint="eastAsia"/>
        </w:rPr>
      </w:pPr>
      <w:r>
        <w:rPr>
          <w:rFonts w:hint="eastAsia"/>
        </w:rPr>
        <w:t>1、低山地区，以常绿阔叶林和常绿针叶林为主，落叶阔叶林也较多。常绿阔叶树有扁刺拷，全苞石栎、石栎、丝栎、栲、刺果米储、十大功劳、雅安琼楠、白毛新 木姜子、润楠、杜英、薯豆、灰木、木荷等。常绿针叶树有杉木、马尾松等。落叶树有 栓皮栎、麻栎、桷栎、杨叶木姜子、山胡椒、领春木、珙桐、灯台树等。地被物有四块 瓦、大蕨箕等。</w:t>
      </w:r>
    </w:p>
    <w:p w14:paraId="4B90676D">
      <w:pPr>
        <w:bidi w:val="0"/>
        <w:rPr>
          <w:rFonts w:hint="eastAsia"/>
        </w:rPr>
      </w:pPr>
      <w:r>
        <w:rPr>
          <w:rFonts w:hint="eastAsia"/>
        </w:rPr>
        <w:t>2、坪岗丘陵地区，在老冲积黄壤上，以马尾松林为主，但也有大量常绿阔叶树生 长，如黄杞、灰木、川灰木、大头茶、栲树、油茶等。还有少量落叶阔叶树如麻栎、八角枫等。主要地被物为铁芒箕。在紫色土上，主要生长栓皮栎、柏树、杉树、桤木、水香、桢楠、黄荆、马桑等。</w:t>
      </w:r>
    </w:p>
    <w:p w14:paraId="39EF86E4">
      <w:pPr>
        <w:bidi w:val="0"/>
        <w:rPr>
          <w:rFonts w:hint="eastAsia"/>
        </w:rPr>
      </w:pPr>
      <w:r>
        <w:rPr>
          <w:rFonts w:hint="eastAsia"/>
        </w:rPr>
        <w:t>3、缓丘坪坝地区，除马尾松外，还有杉树、麻栎，丝栎、桢楠、栓皮栎、山茶、 柏树、桤木等生长。</w:t>
      </w:r>
    </w:p>
    <w:p w14:paraId="2BCAF63C">
      <w:pPr>
        <w:bidi w:val="0"/>
        <w:rPr>
          <w:rFonts w:hint="eastAsia"/>
        </w:rPr>
      </w:pPr>
      <w:r>
        <w:rPr>
          <w:rFonts w:hint="eastAsia"/>
        </w:rPr>
        <w:t>4、道路、溪河和渠系防护林主要有桉树、云南梧桐、千丈、枫杨、柏杨、桤木、 苦栋等树种，农村住宅周围多种植竹子、桢楠、香樟、茶叶、柑桔等经济林木。</w:t>
      </w:r>
    </w:p>
    <w:p w14:paraId="6B0936DC">
      <w:pPr>
        <w:bidi w:val="0"/>
        <w:rPr>
          <w:rFonts w:hint="eastAsia"/>
        </w:rPr>
      </w:pPr>
      <w:r>
        <w:rPr>
          <w:rFonts w:hint="eastAsia"/>
        </w:rPr>
        <w:t>根据调查，工程开工建设前原占地是新近填土，主要由粉土及黏性土等组成，项目 区林草覆盖率为0。</w:t>
      </w:r>
    </w:p>
    <w:p w14:paraId="1240D1C2">
      <w:pPr>
        <w:pStyle w:val="5"/>
        <w:bidi w:val="0"/>
        <w:rPr>
          <w:color w:val="auto"/>
        </w:rPr>
      </w:pPr>
      <w:r>
        <w:rPr>
          <w:color w:val="auto"/>
        </w:rPr>
        <w:t>2.7.7 其它</w:t>
      </w:r>
    </w:p>
    <w:p w14:paraId="56219970">
      <w:pPr>
        <w:bidi w:val="0"/>
        <w:rPr>
          <w:rFonts w:hint="eastAsia"/>
          <w:color w:val="auto"/>
        </w:rPr>
      </w:pPr>
      <w:r>
        <w:rPr>
          <w:rFonts w:hint="eastAsia"/>
          <w:color w:val="auto"/>
        </w:rPr>
        <w:t>根据水利部办公厅关于印发《全国水土保持规划国家级水土流失重点预防区和重点 治理区复核划分成果》的通知(办水保〔2013〕188 号)和四川省水利厅关于印发《四川 省省级水土流失重点预防区和重点治理区划分成果》的通知（川水函〔2017〕482 号）， 本项目所在地雅安市雨城区不属于国家级和省级水土流失重点预防区和重点治理区，根 据《雅安市水土保持规划市级水土流失重点预防区和重点治理区划分成果》，项目区所 在地不属于雅安市水土流失重点预防区和重点治理区。</w:t>
      </w:r>
    </w:p>
    <w:p w14:paraId="44A8011C">
      <w:pPr>
        <w:bidi w:val="0"/>
        <w:rPr>
          <w:rFonts w:hint="eastAsia" w:eastAsia="仿宋_GB2312"/>
          <w:color w:val="auto"/>
          <w:lang w:eastAsia="zh-CN"/>
        </w:rPr>
        <w:sectPr>
          <w:headerReference r:id="rId13" w:type="default"/>
          <w:footerReference r:id="rId14" w:type="default"/>
          <w:pgSz w:w="11906" w:h="16838"/>
          <w:pgMar w:top="1417" w:right="1417" w:bottom="1417" w:left="1417" w:header="1134" w:footer="1134"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color w:val="auto"/>
        </w:rPr>
        <w:t>项目占地不涉及饮用水水源保护区、水功能一级区的保护区和保留区、自然保护区、 世界文化和自然遗产地、风景名胜区、地质公园、森林公园、重要湿地等。 本项目建设 区域未在县级以上地方人民政府划定的崩塌、滑坡危险区和泥石流易发区内， 不属于水 土流失严重、生态脆弱的地区。</w:t>
      </w:r>
      <w:r>
        <w:rPr>
          <w:rFonts w:hint="eastAsia"/>
          <w:color w:val="auto"/>
          <w:lang w:eastAsia="zh-CN"/>
        </w:rPr>
        <w:t>。</w:t>
      </w:r>
    </w:p>
    <w:p w14:paraId="5BA0D957">
      <w:pPr>
        <w:pStyle w:val="2"/>
        <w:bidi w:val="0"/>
        <w:rPr>
          <w:color w:val="auto"/>
        </w:rPr>
      </w:pPr>
      <w:bookmarkStart w:id="90" w:name="_Toc9445"/>
      <w:r>
        <w:rPr>
          <w:rFonts w:hint="eastAsia"/>
          <w:color w:val="auto"/>
        </w:rPr>
        <w:t>3 项目水土保持评价</w:t>
      </w:r>
      <w:bookmarkEnd w:id="90"/>
    </w:p>
    <w:p w14:paraId="2DF1987E">
      <w:pPr>
        <w:pStyle w:val="3"/>
        <w:rPr>
          <w:rFonts w:hint="eastAsia"/>
          <w:color w:val="auto"/>
        </w:rPr>
      </w:pPr>
      <w:bookmarkStart w:id="91" w:name="_Toc16424"/>
      <w:r>
        <w:rPr>
          <w:rFonts w:hint="eastAsia"/>
          <w:color w:val="auto"/>
        </w:rPr>
        <w:t>3.1 主体工程选址（线）水土保持评价</w:t>
      </w:r>
      <w:bookmarkEnd w:id="91"/>
    </w:p>
    <w:p w14:paraId="5FA0AB9B">
      <w:pPr>
        <w:pStyle w:val="5"/>
        <w:rPr>
          <w:rFonts w:hint="eastAsia" w:eastAsia="仿宋_GB2312"/>
          <w:color w:val="auto"/>
          <w:lang w:eastAsia="zh-CN"/>
        </w:rPr>
      </w:pPr>
      <w:bookmarkStart w:id="92" w:name="_Toc20495"/>
      <w:bookmarkStart w:id="93" w:name="_Toc27316"/>
      <w:bookmarkStart w:id="94" w:name="_Toc13450"/>
      <w:bookmarkStart w:id="95" w:name="_Toc27002"/>
      <w:r>
        <w:rPr>
          <w:rFonts w:hint="eastAsia"/>
          <w:color w:val="auto"/>
        </w:rPr>
        <w:t>3</w:t>
      </w:r>
      <w:r>
        <w:rPr>
          <w:color w:val="auto"/>
        </w:rPr>
        <w:t>.1.</w:t>
      </w:r>
      <w:r>
        <w:rPr>
          <w:rFonts w:hint="eastAsia"/>
          <w:color w:val="auto"/>
        </w:rPr>
        <w:t>1</w:t>
      </w:r>
      <w:r>
        <w:rPr>
          <w:color w:val="auto"/>
        </w:rPr>
        <w:t>与水土保持法的符合性</w:t>
      </w:r>
      <w:bookmarkEnd w:id="92"/>
      <w:bookmarkEnd w:id="93"/>
      <w:bookmarkEnd w:id="94"/>
      <w:bookmarkEnd w:id="95"/>
      <w:r>
        <w:rPr>
          <w:rFonts w:hint="eastAsia"/>
          <w:color w:val="auto"/>
          <w:lang w:val="en-US" w:eastAsia="zh-CN"/>
        </w:rPr>
        <w:t>评价</w:t>
      </w:r>
    </w:p>
    <w:p w14:paraId="4567DCF3">
      <w:pPr>
        <w:rPr>
          <w:rFonts w:hint="eastAsia"/>
          <w:color w:val="auto"/>
        </w:rPr>
      </w:pPr>
      <w:r>
        <w:rPr>
          <w:rFonts w:hint="eastAsia"/>
          <w:color w:val="auto"/>
        </w:rPr>
        <w:t>根据水利部办公厅关于印发《全国水土保持规划国家级水土流失重点预防区和重点 治理区复核划分成果》的通知(办水保〔2013〕188  号)和四川省水利厅关于印发《四川 省省级水土流失重点预防区和重点治理区划分成果》的通知（川水函〔2017〕482 号）， 本项目所在地雅安市雨城区不属于国家级和省级水土流失重点预防区和重点治理区，根 据《雅安市水土保持规划市级水土流失重点预防区和重点治理区划分成果》，项目区所 在地不属于雅安市水土流失重点预防区和重点治理区，</w:t>
      </w:r>
      <w:r>
        <w:rPr>
          <w:rFonts w:hint="eastAsia" w:cs="Times New Roman"/>
          <w:color w:val="auto"/>
          <w:lang w:val="en-US" w:eastAsia="zh-CN"/>
        </w:rPr>
        <w:t>根据“</w:t>
      </w:r>
      <w:r>
        <w:rPr>
          <w:rFonts w:hint="eastAsia" w:ascii="Times New Roman" w:hAnsi="Times New Roman" w:cs="Times New Roman"/>
          <w:color w:val="auto"/>
          <w:lang w:val="en-US" w:eastAsia="zh-CN"/>
        </w:rPr>
        <w:t>雨城区水土流失重点防治区治理区公告</w:t>
      </w:r>
      <w:r>
        <w:rPr>
          <w:rFonts w:hint="eastAsia" w:cs="Times New Roman"/>
          <w:color w:val="auto"/>
          <w:lang w:val="en-US" w:eastAsia="zh-CN"/>
        </w:rPr>
        <w:t>”</w:t>
      </w:r>
      <w:r>
        <w:rPr>
          <w:rFonts w:hint="default" w:ascii="Times New Roman" w:hAnsi="Times New Roman" w:eastAsia="仿宋_GB2312" w:cs="Times New Roman"/>
          <w:color w:val="auto"/>
        </w:rPr>
        <w:t>项目区所在地不属于</w:t>
      </w:r>
      <w:r>
        <w:rPr>
          <w:rFonts w:hint="eastAsia" w:ascii="Times New Roman" w:hAnsi="Times New Roman" w:cs="Times New Roman"/>
          <w:color w:val="auto"/>
          <w:lang w:val="en-US" w:eastAsia="zh-CN"/>
        </w:rPr>
        <w:t>雨城区</w:t>
      </w:r>
      <w:r>
        <w:rPr>
          <w:rFonts w:hint="default" w:ascii="Times New Roman" w:hAnsi="Times New Roman" w:eastAsia="仿宋_GB2312" w:cs="Times New Roman"/>
          <w:color w:val="auto"/>
        </w:rPr>
        <w:t>水土流失重点预防区和重点治理区</w:t>
      </w:r>
      <w:r>
        <w:rPr>
          <w:rFonts w:hint="eastAsia" w:ascii="Times New Roman" w:hAnsi="Times New Roman" w:cs="Times New Roman"/>
          <w:color w:val="auto"/>
          <w:lang w:eastAsia="zh-CN"/>
        </w:rPr>
        <w:t>，</w:t>
      </w:r>
      <w:r>
        <w:rPr>
          <w:rFonts w:hint="eastAsia"/>
          <w:color w:val="auto"/>
        </w:rPr>
        <w:t>但项目区位于城区受地域条件的 限制，必须采取严格的防治措施，优化施工工艺，以便控制施工过程中的人为水土流失， 水土流失按西南紫色土区水土流失防治一级标准执行。</w:t>
      </w:r>
    </w:p>
    <w:p w14:paraId="228D34D8">
      <w:pPr>
        <w:ind w:firstLine="480"/>
        <w:rPr>
          <w:rFonts w:hint="eastAsia"/>
          <w:color w:val="auto"/>
        </w:rPr>
      </w:pPr>
      <w:r>
        <w:rPr>
          <w:rFonts w:hint="eastAsia"/>
          <w:color w:val="auto"/>
        </w:rPr>
        <w:t>另外，本工程的选址场地不在重要江河、湖泊以及跨省的其他江河、湖泊的水功能 一级区的保护区和保留区，也不涉及全国水土保持监测网络中的水土保持监测站点、重 点试验区，不涉及国家确定的水土保持长期定位观测站，不属于生态脆弱区、泥石流易 发区、崩塌滑坡危险区及会引起严重水土流失和生态恶化的地区， 不属于水功能二级区 的饮用水源区，工程占地不涉及基本农田保护区，也尽量避免了占用具有水土保持功能的设施。</w:t>
      </w:r>
    </w:p>
    <w:p w14:paraId="2D8FD787">
      <w:pPr>
        <w:bidi w:val="0"/>
      </w:pPr>
      <w:r>
        <w:t>综上，本项目选址不在国家划定的相关敏感区范围内，不属国家文物古迹保护范围， 项目区所在地不属于各级水土流失重点预防区和重点治理区，但项目区位于城区受地域 条件的限制，本项目施工期间优化施工工艺、利用彩钢板控制了施工扰动面积，减少了 地表扰动面积，配套建设了完善的雨水利用和排水设施，这些措施可有效控制可能造成的水土流失；本方案提高了水土流失防治目标，项目施工期间的防治目标可达到方案设计的目标值，项目区选址符合水土保持的基本要求。</w:t>
      </w:r>
    </w:p>
    <w:p w14:paraId="2487D1B7">
      <w:pPr>
        <w:pStyle w:val="35"/>
        <w:bidi w:val="0"/>
        <w:rPr>
          <w:rFonts w:ascii="仿宋" w:hAnsi="仿宋" w:eastAsia="仿宋" w:cs="仿宋"/>
          <w:sz w:val="21"/>
          <w:szCs w:val="21"/>
        </w:rPr>
      </w:pPr>
      <w:r>
        <w:rPr>
          <w:rFonts w:ascii="仿宋" w:hAnsi="仿宋" w:eastAsia="仿宋" w:cs="仿宋"/>
          <w:b/>
          <w:bCs/>
          <w:spacing w:val="-2"/>
          <w:sz w:val="21"/>
          <w:szCs w:val="21"/>
        </w:rPr>
        <w:t>表</w:t>
      </w:r>
      <w:r>
        <w:rPr>
          <w:rFonts w:ascii="仿宋" w:hAnsi="仿宋" w:eastAsia="仿宋" w:cs="仿宋"/>
          <w:spacing w:val="-46"/>
          <w:sz w:val="21"/>
          <w:szCs w:val="21"/>
        </w:rPr>
        <w:t xml:space="preserve"> </w:t>
      </w:r>
      <w:r>
        <w:rPr>
          <w:b/>
          <w:bCs/>
          <w:spacing w:val="-2"/>
          <w:sz w:val="21"/>
          <w:szCs w:val="21"/>
        </w:rPr>
        <w:t>3-1</w:t>
      </w:r>
      <w:r>
        <w:rPr>
          <w:b/>
          <w:bCs/>
          <w:spacing w:val="51"/>
          <w:w w:val="101"/>
          <w:sz w:val="21"/>
          <w:szCs w:val="21"/>
        </w:rPr>
        <w:t xml:space="preserve"> </w:t>
      </w:r>
      <w:r>
        <w:rPr>
          <w:rFonts w:ascii="仿宋" w:hAnsi="仿宋" w:eastAsia="仿宋" w:cs="仿宋"/>
          <w:b/>
          <w:bCs/>
          <w:spacing w:val="-2"/>
          <w:sz w:val="21"/>
          <w:szCs w:val="21"/>
        </w:rPr>
        <w:t>《中华人民共和国水土保持法》预</w:t>
      </w:r>
      <w:r>
        <w:rPr>
          <w:rFonts w:ascii="仿宋" w:hAnsi="仿宋" w:eastAsia="仿宋" w:cs="仿宋"/>
          <w:b/>
          <w:bCs/>
          <w:spacing w:val="-3"/>
          <w:sz w:val="21"/>
          <w:szCs w:val="21"/>
        </w:rPr>
        <w:t>防规定的符合性对照分析表</w:t>
      </w:r>
    </w:p>
    <w:tbl>
      <w:tblPr>
        <w:tblStyle w:val="97"/>
        <w:tblW w:w="4998"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01"/>
        <w:gridCol w:w="4637"/>
        <w:gridCol w:w="2839"/>
        <w:gridCol w:w="791"/>
      </w:tblGrid>
      <w:tr w14:paraId="285732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4" w:hRule="atLeast"/>
          <w:jc w:val="center"/>
        </w:trPr>
        <w:tc>
          <w:tcPr>
            <w:tcW w:w="442" w:type="pct"/>
            <w:tcBorders>
              <w:top w:val="single" w:color="000000" w:sz="10" w:space="0"/>
              <w:left w:val="nil"/>
            </w:tcBorders>
            <w:vAlign w:val="top"/>
          </w:tcPr>
          <w:p w14:paraId="32FE2BDB">
            <w:pPr>
              <w:pStyle w:val="34"/>
              <w:bidi w:val="0"/>
            </w:pPr>
            <w:r>
              <w:t>序号</w:t>
            </w:r>
          </w:p>
        </w:tc>
        <w:tc>
          <w:tcPr>
            <w:tcW w:w="2556" w:type="pct"/>
            <w:tcBorders>
              <w:top w:val="single" w:color="000000" w:sz="10" w:space="0"/>
            </w:tcBorders>
            <w:vAlign w:val="top"/>
          </w:tcPr>
          <w:p w14:paraId="4EB2A283">
            <w:pPr>
              <w:pStyle w:val="34"/>
              <w:bidi w:val="0"/>
            </w:pPr>
            <w:r>
              <w:t>《中华人民共和国水土保持法》第三章 预防规定</w:t>
            </w:r>
          </w:p>
        </w:tc>
        <w:tc>
          <w:tcPr>
            <w:tcW w:w="1565" w:type="pct"/>
            <w:tcBorders>
              <w:top w:val="single" w:color="000000" w:sz="10" w:space="0"/>
            </w:tcBorders>
            <w:vAlign w:val="top"/>
          </w:tcPr>
          <w:p w14:paraId="7C8A4147">
            <w:pPr>
              <w:pStyle w:val="34"/>
              <w:bidi w:val="0"/>
            </w:pPr>
            <w:r>
              <w:t>本项目情况</w:t>
            </w:r>
          </w:p>
        </w:tc>
        <w:tc>
          <w:tcPr>
            <w:tcW w:w="436" w:type="pct"/>
            <w:tcBorders>
              <w:top w:val="single" w:color="000000" w:sz="10" w:space="0"/>
              <w:right w:val="nil"/>
            </w:tcBorders>
            <w:vAlign w:val="top"/>
          </w:tcPr>
          <w:p w14:paraId="6A54BD2B">
            <w:pPr>
              <w:pStyle w:val="34"/>
              <w:bidi w:val="0"/>
            </w:pPr>
            <w:r>
              <w:t>相符性 分析</w:t>
            </w:r>
          </w:p>
        </w:tc>
      </w:tr>
      <w:tr w14:paraId="1E717D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jc w:val="center"/>
        </w:trPr>
        <w:tc>
          <w:tcPr>
            <w:tcW w:w="442" w:type="pct"/>
            <w:tcBorders>
              <w:left w:val="nil"/>
            </w:tcBorders>
            <w:vAlign w:val="top"/>
          </w:tcPr>
          <w:p w14:paraId="03AD04E2">
            <w:pPr>
              <w:pStyle w:val="34"/>
              <w:bidi w:val="0"/>
            </w:pPr>
            <w:r>
              <w:t>1</w:t>
            </w:r>
          </w:p>
        </w:tc>
        <w:tc>
          <w:tcPr>
            <w:tcW w:w="2556" w:type="pct"/>
            <w:vAlign w:val="top"/>
          </w:tcPr>
          <w:p w14:paraId="0E6F6D32">
            <w:pPr>
              <w:pStyle w:val="34"/>
              <w:bidi w:val="0"/>
            </w:pPr>
            <w:r>
              <w:t>第十七条：禁止在崩塌、滑坡危险区和泥石流易发区从事 取土、挖砂、采石等可能造成水土流失的活动。</w:t>
            </w:r>
          </w:p>
        </w:tc>
        <w:tc>
          <w:tcPr>
            <w:tcW w:w="1565" w:type="pct"/>
            <w:vAlign w:val="top"/>
          </w:tcPr>
          <w:p w14:paraId="7E0D09FF">
            <w:pPr>
              <w:pStyle w:val="34"/>
              <w:bidi w:val="0"/>
            </w:pPr>
            <w:r>
              <w:t>不在上述区域从事取土、挖砂、取 石等活动</w:t>
            </w:r>
          </w:p>
        </w:tc>
        <w:tc>
          <w:tcPr>
            <w:tcW w:w="436" w:type="pct"/>
            <w:tcBorders>
              <w:right w:val="nil"/>
            </w:tcBorders>
            <w:vAlign w:val="top"/>
          </w:tcPr>
          <w:p w14:paraId="70E018E3">
            <w:pPr>
              <w:pStyle w:val="34"/>
              <w:bidi w:val="0"/>
            </w:pPr>
            <w:r>
              <w:t>符合</w:t>
            </w:r>
          </w:p>
        </w:tc>
      </w:tr>
      <w:tr w14:paraId="37FFAAC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99" w:hRule="atLeast"/>
          <w:jc w:val="center"/>
        </w:trPr>
        <w:tc>
          <w:tcPr>
            <w:tcW w:w="442" w:type="pct"/>
            <w:tcBorders>
              <w:left w:val="nil"/>
            </w:tcBorders>
            <w:vAlign w:val="top"/>
          </w:tcPr>
          <w:p w14:paraId="6F78CD14">
            <w:pPr>
              <w:pStyle w:val="34"/>
              <w:bidi w:val="0"/>
            </w:pPr>
          </w:p>
          <w:p w14:paraId="1909064D">
            <w:pPr>
              <w:pStyle w:val="34"/>
              <w:bidi w:val="0"/>
            </w:pPr>
          </w:p>
          <w:p w14:paraId="0DD0346F">
            <w:pPr>
              <w:pStyle w:val="34"/>
              <w:bidi w:val="0"/>
            </w:pPr>
            <w:r>
              <w:t>2</w:t>
            </w:r>
          </w:p>
        </w:tc>
        <w:tc>
          <w:tcPr>
            <w:tcW w:w="2556" w:type="pct"/>
            <w:vAlign w:val="top"/>
          </w:tcPr>
          <w:p w14:paraId="4E88BB05">
            <w:pPr>
              <w:pStyle w:val="34"/>
              <w:bidi w:val="0"/>
            </w:pPr>
            <w:r>
              <w:t>第十八条：水土流失严重、生态脆弱的地区，应当限制或 者禁止可能造成水土流失的生产建设活动，严格保护植物、 沙壳、结皮、地衣等。在侵蚀沟的沟坡和沟岸、河流的两 岸以及湖泊和水库的周边，土地所有权人、使用权人或者 有关管理单位应当营造植物保护带。禁止开垦、开发植物 保护带。</w:t>
            </w:r>
          </w:p>
        </w:tc>
        <w:tc>
          <w:tcPr>
            <w:tcW w:w="1565" w:type="pct"/>
            <w:vAlign w:val="top"/>
          </w:tcPr>
          <w:p w14:paraId="3032E4AB">
            <w:pPr>
              <w:pStyle w:val="34"/>
              <w:bidi w:val="0"/>
            </w:pPr>
          </w:p>
          <w:p w14:paraId="763BCB19">
            <w:pPr>
              <w:pStyle w:val="34"/>
              <w:bidi w:val="0"/>
            </w:pPr>
            <w:r>
              <w:t>本项目不属于水土流失严重、生态 脆弱的地区。</w:t>
            </w:r>
          </w:p>
        </w:tc>
        <w:tc>
          <w:tcPr>
            <w:tcW w:w="436" w:type="pct"/>
            <w:tcBorders>
              <w:right w:val="nil"/>
            </w:tcBorders>
            <w:vAlign w:val="top"/>
          </w:tcPr>
          <w:p w14:paraId="34833A7F">
            <w:pPr>
              <w:pStyle w:val="34"/>
              <w:bidi w:val="0"/>
            </w:pPr>
          </w:p>
          <w:p w14:paraId="1BA48CAD">
            <w:pPr>
              <w:pStyle w:val="34"/>
              <w:bidi w:val="0"/>
            </w:pPr>
          </w:p>
          <w:p w14:paraId="3A4667B6">
            <w:pPr>
              <w:pStyle w:val="34"/>
              <w:bidi w:val="0"/>
            </w:pPr>
            <w:r>
              <w:t>符合</w:t>
            </w:r>
          </w:p>
        </w:tc>
      </w:tr>
      <w:tr w14:paraId="761535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65" w:hRule="atLeast"/>
          <w:jc w:val="center"/>
        </w:trPr>
        <w:tc>
          <w:tcPr>
            <w:tcW w:w="442" w:type="pct"/>
            <w:tcBorders>
              <w:left w:val="nil"/>
            </w:tcBorders>
            <w:vAlign w:val="top"/>
          </w:tcPr>
          <w:p w14:paraId="7B8B993B">
            <w:pPr>
              <w:pStyle w:val="34"/>
              <w:bidi w:val="0"/>
            </w:pPr>
          </w:p>
          <w:p w14:paraId="7E7BB9AA">
            <w:pPr>
              <w:pStyle w:val="34"/>
              <w:bidi w:val="0"/>
            </w:pPr>
            <w:r>
              <w:t>3</w:t>
            </w:r>
          </w:p>
        </w:tc>
        <w:tc>
          <w:tcPr>
            <w:tcW w:w="2556" w:type="pct"/>
            <w:vAlign w:val="top"/>
          </w:tcPr>
          <w:p w14:paraId="6E4484B0">
            <w:pPr>
              <w:pStyle w:val="34"/>
              <w:bidi w:val="0"/>
            </w:pPr>
            <w:r>
              <w:t>第二十四条：生产建设项目选址、选线应当避让水土流失 重点预防区和重点治理区；无法避让的，应当提高防治标 准，优化施工工艺，减少地表扰动和植被损坏范围，有效 控制可能造成的水土流失。</w:t>
            </w:r>
          </w:p>
        </w:tc>
        <w:tc>
          <w:tcPr>
            <w:tcW w:w="1565" w:type="pct"/>
            <w:vAlign w:val="top"/>
          </w:tcPr>
          <w:p w14:paraId="78B5DB9F">
            <w:pPr>
              <w:pStyle w:val="34"/>
              <w:bidi w:val="0"/>
            </w:pPr>
            <w:r>
              <w:t>本项目区所在地不属于各级水土 流失重点预防区和重点治理区，但 项目区位于城区受地域条件的限 制，水土流失按西南紫色土区水土 流失防治一级标准执行。</w:t>
            </w:r>
          </w:p>
        </w:tc>
        <w:tc>
          <w:tcPr>
            <w:tcW w:w="436" w:type="pct"/>
            <w:tcBorders>
              <w:right w:val="nil"/>
            </w:tcBorders>
            <w:vAlign w:val="top"/>
          </w:tcPr>
          <w:p w14:paraId="774AC95D">
            <w:pPr>
              <w:pStyle w:val="34"/>
              <w:bidi w:val="0"/>
            </w:pPr>
          </w:p>
          <w:p w14:paraId="1D5FAAEE">
            <w:pPr>
              <w:pStyle w:val="34"/>
              <w:bidi w:val="0"/>
            </w:pPr>
            <w:r>
              <w:t>符合</w:t>
            </w:r>
          </w:p>
        </w:tc>
      </w:tr>
      <w:tr w14:paraId="263FAA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91" w:hRule="atLeast"/>
          <w:jc w:val="center"/>
        </w:trPr>
        <w:tc>
          <w:tcPr>
            <w:tcW w:w="442" w:type="pct"/>
            <w:tcBorders>
              <w:left w:val="nil"/>
              <w:bottom w:val="single" w:color="000000" w:sz="10" w:space="0"/>
            </w:tcBorders>
            <w:vAlign w:val="top"/>
          </w:tcPr>
          <w:p w14:paraId="42A904CB">
            <w:pPr>
              <w:pStyle w:val="34"/>
              <w:bidi w:val="0"/>
            </w:pPr>
          </w:p>
          <w:p w14:paraId="2686E16B">
            <w:pPr>
              <w:pStyle w:val="34"/>
              <w:bidi w:val="0"/>
            </w:pPr>
          </w:p>
          <w:p w14:paraId="085E5FD8">
            <w:pPr>
              <w:pStyle w:val="34"/>
              <w:bidi w:val="0"/>
            </w:pPr>
            <w:r>
              <w:t>4</w:t>
            </w:r>
          </w:p>
        </w:tc>
        <w:tc>
          <w:tcPr>
            <w:tcW w:w="2556" w:type="pct"/>
            <w:tcBorders>
              <w:bottom w:val="single" w:color="000000" w:sz="10" w:space="0"/>
            </w:tcBorders>
            <w:vAlign w:val="top"/>
          </w:tcPr>
          <w:p w14:paraId="61A7557B">
            <w:pPr>
              <w:pStyle w:val="34"/>
              <w:bidi w:val="0"/>
            </w:pPr>
            <w:r>
              <w:t>第二十八条  依法应当编制水土保持方案的生产建设项 目，其生产建设活动中排弃的砂、石、土、矸石、尾矿、 废渣等应当综合利用；不能综合利用，确需废弃的，应当 堆放在水土保持方案确定的专门存放地，并采取措施保证 不产生新的危害。</w:t>
            </w:r>
          </w:p>
        </w:tc>
        <w:tc>
          <w:tcPr>
            <w:tcW w:w="1565" w:type="pct"/>
            <w:tcBorders>
              <w:bottom w:val="single" w:color="000000" w:sz="10" w:space="0"/>
            </w:tcBorders>
            <w:vAlign w:val="top"/>
          </w:tcPr>
          <w:p w14:paraId="15D5DD91">
            <w:pPr>
              <w:pStyle w:val="34"/>
              <w:bidi w:val="0"/>
            </w:pPr>
          </w:p>
          <w:p w14:paraId="6E6F1A27">
            <w:pPr>
              <w:pStyle w:val="34"/>
              <w:bidi w:val="0"/>
            </w:pPr>
            <w:r>
              <w:t>本项目无弃方。</w:t>
            </w:r>
          </w:p>
        </w:tc>
        <w:tc>
          <w:tcPr>
            <w:tcW w:w="436" w:type="pct"/>
            <w:tcBorders>
              <w:bottom w:val="single" w:color="000000" w:sz="10" w:space="0"/>
              <w:right w:val="nil"/>
            </w:tcBorders>
            <w:vAlign w:val="top"/>
          </w:tcPr>
          <w:p w14:paraId="4ECC7400">
            <w:pPr>
              <w:pStyle w:val="34"/>
              <w:bidi w:val="0"/>
            </w:pPr>
          </w:p>
          <w:p w14:paraId="222D4ED0">
            <w:pPr>
              <w:pStyle w:val="34"/>
              <w:bidi w:val="0"/>
            </w:pPr>
            <w:r>
              <w:t>符合</w:t>
            </w:r>
          </w:p>
        </w:tc>
      </w:tr>
    </w:tbl>
    <w:p w14:paraId="5B49A204">
      <w:pPr>
        <w:pStyle w:val="5"/>
        <w:bidi w:val="0"/>
      </w:pPr>
      <w:r>
        <w:rPr>
          <w:rFonts w:hint="eastAsia"/>
        </w:rPr>
        <w:t>3.</w:t>
      </w:r>
      <w:r>
        <w:rPr>
          <w:rFonts w:hint="eastAsia"/>
          <w:lang w:val="en-US" w:eastAsia="zh-CN"/>
        </w:rPr>
        <w:t>1.2</w:t>
      </w:r>
      <w:r>
        <w:rPr>
          <w:rFonts w:hint="eastAsia"/>
        </w:rPr>
        <w:t>综合</w:t>
      </w:r>
      <w:r>
        <w:rPr>
          <w:rFonts w:hint="eastAsia"/>
          <w:lang w:val="en-US" w:eastAsia="zh-CN"/>
        </w:rPr>
        <w:t>评价</w:t>
      </w:r>
      <w:r>
        <w:rPr>
          <w:rFonts w:hint="eastAsia"/>
        </w:rPr>
        <w:t>结论</w:t>
      </w:r>
    </w:p>
    <w:p w14:paraId="5F669C64">
      <w:pPr>
        <w:bidi w:val="0"/>
        <w:rPr>
          <w:rFonts w:hint="eastAsia"/>
        </w:rPr>
      </w:pPr>
      <w:r>
        <w:rPr>
          <w:rFonts w:hint="eastAsia"/>
        </w:rPr>
        <w:t>通过对主体工程选址的分析与评价，从水土保持角度，得出结论如下：</w:t>
      </w:r>
    </w:p>
    <w:p w14:paraId="162BCA35">
      <w:pPr>
        <w:bidi w:val="0"/>
        <w:rPr>
          <w:rFonts w:hint="eastAsia"/>
        </w:rPr>
      </w:pPr>
      <w:r>
        <w:rPr>
          <w:rFonts w:hint="eastAsia"/>
        </w:rPr>
        <w:t>（1）本项目区所在地不属于各级水土流失重点预防区和重点治理区，但项目区位 于城区受地域条件的限制，项目水土流失防治指标值执行西南紫色土区一级标准。</w:t>
      </w:r>
    </w:p>
    <w:p w14:paraId="4B0D2621">
      <w:pPr>
        <w:bidi w:val="0"/>
        <w:rPr>
          <w:rFonts w:hint="eastAsia"/>
        </w:rPr>
      </w:pPr>
      <w:r>
        <w:rPr>
          <w:rFonts w:hint="eastAsia"/>
        </w:rPr>
        <w:t>（2）工程未涉及河流两岸、湖泊和水库周边的植物保护带。</w:t>
      </w:r>
    </w:p>
    <w:p w14:paraId="78FB9DAB">
      <w:pPr>
        <w:bidi w:val="0"/>
        <w:rPr>
          <w:rFonts w:hint="eastAsia"/>
        </w:rPr>
      </w:pPr>
      <w:r>
        <w:rPr>
          <w:rFonts w:hint="eastAsia"/>
        </w:rPr>
        <w:t>（3）工程避开了全国水土保持监测网络中的水土保持监测站点、重点试验区， 未占用国家确定的水土保持长期定位观测站。</w:t>
      </w:r>
    </w:p>
    <w:p w14:paraId="29A261C8">
      <w:pPr>
        <w:bidi w:val="0"/>
        <w:rPr>
          <w:rFonts w:hint="eastAsia"/>
        </w:rPr>
      </w:pPr>
      <w:r>
        <w:rPr>
          <w:rFonts w:hint="eastAsia"/>
        </w:rPr>
        <w:t>综上所述，本工程选址无水土保持方面严格限制类因素。</w:t>
      </w:r>
    </w:p>
    <w:p w14:paraId="778EDA09">
      <w:pPr>
        <w:pStyle w:val="3"/>
        <w:bidi w:val="0"/>
      </w:pPr>
      <w:bookmarkStart w:id="96" w:name="_Toc20729"/>
      <w:r>
        <w:rPr>
          <w:rFonts w:hint="eastAsia"/>
        </w:rPr>
        <w:t>3.2建设方案与布局水土保持评价</w:t>
      </w:r>
      <w:bookmarkEnd w:id="96"/>
    </w:p>
    <w:p w14:paraId="2BFB0157">
      <w:pPr>
        <w:pStyle w:val="5"/>
        <w:bidi w:val="0"/>
        <w:rPr>
          <w:rFonts w:hint="eastAsia"/>
          <w:lang w:eastAsia="zh-CN"/>
        </w:rPr>
      </w:pPr>
      <w:r>
        <w:rPr>
          <w:rFonts w:hint="eastAsia"/>
        </w:rPr>
        <w:t>3.2.1建设方案评价</w:t>
      </w:r>
    </w:p>
    <w:p w14:paraId="7090C018">
      <w:pPr>
        <w:bidi w:val="0"/>
        <w:rPr>
          <w:color w:val="auto"/>
        </w:rPr>
      </w:pPr>
      <w:r>
        <w:rPr>
          <w:color w:val="auto"/>
        </w:rPr>
        <w:t>本工程为点型工程，通过查阅主体设计平面图，本工程平面布局紧凑，充分利用了工程的占地范围，利用现有的场地进行移挖作填，工程区已与</w:t>
      </w:r>
      <w:r>
        <w:rPr>
          <w:rFonts w:hint="eastAsia"/>
          <w:color w:val="auto"/>
          <w:lang w:val="en-US" w:eastAsia="zh-CN"/>
        </w:rPr>
        <w:t>周边</w:t>
      </w:r>
      <w:r>
        <w:rPr>
          <w:color w:val="auto"/>
        </w:rPr>
        <w:t>道路联通，交通便利，无需修筑施工便道等，减少了临时占地，符合水土保持要求。</w:t>
      </w:r>
    </w:p>
    <w:p w14:paraId="4BCD419C">
      <w:pPr>
        <w:bidi w:val="0"/>
        <w:rPr>
          <w:rFonts w:hint="eastAsia"/>
          <w:color w:val="auto"/>
        </w:rPr>
      </w:pPr>
      <w:r>
        <w:rPr>
          <w:rFonts w:hint="eastAsia"/>
          <w:color w:val="auto"/>
        </w:rPr>
        <w:t>本项目区所在地不属于各级水土流失重点预防区和重点治理区，但项目区位于 城区受地域条件的限制，必须采取严格的防治措施，优化施工工艺，以便控制施工过程 中的人为水土流失，水土流失按西南紫色土区水土流失防治一级标准执行。</w:t>
      </w:r>
    </w:p>
    <w:p w14:paraId="158B91E9">
      <w:pPr>
        <w:bidi w:val="0"/>
        <w:rPr>
          <w:color w:val="auto"/>
        </w:rPr>
      </w:pPr>
      <w:r>
        <w:rPr>
          <w:color w:val="auto"/>
        </w:rPr>
        <w:t>工程仅在场地范围区域进行建筑基础开挖，土石方挖填平衡，不涉及取、弃土场。从水土保持角度讲，工程建设方案与布局基本合理，符合水土保持要求。本项目在建设时期，充分考虑了工程占地，通过对工程占地和施工土石方的控制并提高相应标准，在很大程度上</w:t>
      </w:r>
      <w:r>
        <w:rPr>
          <w:rFonts w:hint="eastAsia"/>
          <w:color w:val="auto"/>
          <w:lang w:val="en-US" w:eastAsia="zh-CN"/>
        </w:rPr>
        <w:t>将</w:t>
      </w:r>
      <w:r>
        <w:rPr>
          <w:color w:val="auto"/>
        </w:rPr>
        <w:t>减轻项目建设造成的水土流失。另外，本项目在竖向</w:t>
      </w:r>
      <w:r>
        <w:rPr>
          <w:rFonts w:hint="eastAsia"/>
          <w:color w:val="auto"/>
          <w:lang w:eastAsia="zh-CN"/>
        </w:rPr>
        <w:t>布置</w:t>
      </w:r>
      <w:r>
        <w:rPr>
          <w:color w:val="auto"/>
        </w:rPr>
        <w:t>设计时，充分考虑了项目土石方平衡，使项目建构筑物基建施工产生的多余土石方</w:t>
      </w:r>
      <w:r>
        <w:rPr>
          <w:rFonts w:hint="eastAsia"/>
          <w:color w:val="auto"/>
          <w:lang w:val="en-US" w:eastAsia="zh-CN"/>
        </w:rPr>
        <w:t>全部</w:t>
      </w:r>
      <w:r>
        <w:rPr>
          <w:color w:val="auto"/>
        </w:rPr>
        <w:t>用于项目区各场地细部平整回填，且</w:t>
      </w:r>
      <w:r>
        <w:rPr>
          <w:rFonts w:hint="eastAsia"/>
          <w:color w:val="auto"/>
          <w:lang w:val="en-US" w:eastAsia="zh-CN"/>
        </w:rPr>
        <w:t>本项目与场外</w:t>
      </w:r>
      <w:r>
        <w:rPr>
          <w:color w:val="auto"/>
        </w:rPr>
        <w:t>道路及构建筑物场地竖向</w:t>
      </w:r>
      <w:r>
        <w:rPr>
          <w:rFonts w:hint="eastAsia"/>
          <w:color w:val="auto"/>
          <w:lang w:eastAsia="zh-CN"/>
        </w:rPr>
        <w:t>布置</w:t>
      </w:r>
      <w:r>
        <w:rPr>
          <w:color w:val="auto"/>
        </w:rPr>
        <w:t>设计中均形成了一定的排水坡降，为场地的防洪排水创造了良好条件，防止内涝。</w:t>
      </w:r>
    </w:p>
    <w:p w14:paraId="114B6048">
      <w:pPr>
        <w:bidi w:val="0"/>
        <w:rPr>
          <w:color w:val="auto"/>
        </w:rPr>
      </w:pPr>
      <w:r>
        <w:rPr>
          <w:color w:val="auto"/>
        </w:rPr>
        <w:t>根据相关资料，本项目不涉及饮用水水源保护区、水功能一级区的保护区和保留区，综上所述，从水土保持角度讲，本项目工程建设方案与布局基本合理，符合水土保持要求</w:t>
      </w:r>
      <w:r>
        <w:rPr>
          <w:rFonts w:hint="eastAsia"/>
          <w:color w:val="auto"/>
        </w:rPr>
        <w:t>。</w:t>
      </w:r>
    </w:p>
    <w:p w14:paraId="682445CD">
      <w:pPr>
        <w:pStyle w:val="5"/>
        <w:rPr>
          <w:color w:val="auto"/>
        </w:rPr>
      </w:pPr>
      <w:r>
        <w:rPr>
          <w:rFonts w:hint="eastAsia"/>
          <w:color w:val="auto"/>
        </w:rPr>
        <w:t>3.2.2工程占地评价</w:t>
      </w:r>
    </w:p>
    <w:p w14:paraId="04004808">
      <w:pPr>
        <w:ind w:firstLine="480"/>
        <w:rPr>
          <w:color w:val="auto"/>
          <w:spacing w:val="-2"/>
        </w:rPr>
      </w:pPr>
      <w:r>
        <w:rPr>
          <w:rFonts w:hint="eastAsia"/>
          <w:color w:val="auto"/>
        </w:rPr>
        <w:t>本工程总占地面积</w:t>
      </w:r>
      <w:r>
        <w:rPr>
          <w:rFonts w:hint="eastAsia"/>
          <w:color w:val="auto"/>
          <w:lang w:val="en-US" w:eastAsia="zh-CN"/>
        </w:rPr>
        <w:t>3.66</w:t>
      </w:r>
      <w:r>
        <w:rPr>
          <w:rFonts w:hint="eastAsia"/>
          <w:color w:val="auto"/>
        </w:rPr>
        <w:t>hm</w:t>
      </w:r>
      <w:r>
        <w:rPr>
          <w:rFonts w:hint="eastAsia"/>
          <w:color w:val="auto"/>
          <w:vertAlign w:val="superscript"/>
        </w:rPr>
        <w:t>2</w:t>
      </w:r>
      <w:r>
        <w:rPr>
          <w:rFonts w:hint="eastAsia"/>
          <w:color w:val="auto"/>
        </w:rPr>
        <w:t>，</w:t>
      </w:r>
      <w:r>
        <w:rPr>
          <w:rFonts w:hint="eastAsia"/>
          <w:color w:val="auto"/>
          <w:lang w:val="en-US" w:eastAsia="zh-CN"/>
        </w:rPr>
        <w:t>全部为</w:t>
      </w:r>
      <w:r>
        <w:rPr>
          <w:rFonts w:hint="eastAsia"/>
          <w:color w:val="auto"/>
          <w:vertAlign w:val="baseline"/>
          <w:lang w:val="en-US" w:eastAsia="zh-CN"/>
        </w:rPr>
        <w:t>为</w:t>
      </w:r>
      <w:r>
        <w:rPr>
          <w:rFonts w:hint="eastAsia"/>
          <w:color w:val="auto"/>
          <w:lang w:eastAsia="zh-CN"/>
        </w:rPr>
        <w:t>永久占地</w:t>
      </w:r>
      <w:r>
        <w:rPr>
          <w:rFonts w:hint="eastAsia"/>
          <w:color w:val="auto"/>
        </w:rPr>
        <w:t>，</w:t>
      </w:r>
      <w:r>
        <w:rPr>
          <w:rFonts w:hint="default" w:ascii="Times New Roman" w:hAnsi="Times New Roman" w:eastAsia="仿宋_GB2312" w:cs="Times New Roman"/>
          <w:color w:val="auto"/>
          <w:lang w:val="en-US" w:eastAsia="zh-CN"/>
        </w:rPr>
        <w:t>占地类型</w:t>
      </w:r>
      <w:r>
        <w:rPr>
          <w:rFonts w:hint="eastAsia" w:cs="Times New Roman"/>
          <w:color w:val="auto"/>
          <w:lang w:val="en-US" w:eastAsia="zh-CN"/>
        </w:rPr>
        <w:t>为耕地</w:t>
      </w:r>
      <w:r>
        <w:rPr>
          <w:rFonts w:hint="default" w:ascii="Times New Roman" w:hAnsi="Times New Roman" w:eastAsia="仿宋_GB2312" w:cs="Times New Roman"/>
          <w:color w:val="auto"/>
        </w:rPr>
        <w:t>，</w:t>
      </w:r>
      <w:r>
        <w:rPr>
          <w:rFonts w:hint="eastAsia" w:cs="Times New Roman"/>
          <w:color w:val="auto"/>
          <w:lang w:val="en-US" w:eastAsia="zh-CN"/>
        </w:rPr>
        <w:t>现已规划为工业用地，</w:t>
      </w:r>
      <w:r>
        <w:rPr>
          <w:rFonts w:hint="default" w:ascii="Times New Roman" w:hAnsi="Times New Roman" w:eastAsia="仿宋_GB2312" w:cs="Times New Roman"/>
          <w:color w:val="auto"/>
        </w:rPr>
        <w:t>不涉及基本农田，占地符合水土保持相关规定。</w:t>
      </w:r>
    </w:p>
    <w:p w14:paraId="0C31FAA2">
      <w:pPr>
        <w:ind w:firstLine="480"/>
        <w:rPr>
          <w:rFonts w:hint="eastAsia"/>
          <w:color w:val="auto"/>
          <w:lang w:eastAsia="zh-CN"/>
        </w:rPr>
      </w:pPr>
      <w:r>
        <w:rPr>
          <w:color w:val="auto"/>
        </w:rPr>
        <w:t>项目建设对周围的生态环境影响较小；土地损坏后地表</w:t>
      </w:r>
      <w:r>
        <w:rPr>
          <w:rFonts w:hint="eastAsia"/>
          <w:color w:val="auto"/>
          <w:lang w:val="en-US" w:eastAsia="zh-CN"/>
        </w:rPr>
        <w:t>全部</w:t>
      </w:r>
      <w:r>
        <w:rPr>
          <w:color w:val="auto"/>
        </w:rPr>
        <w:t>硬化</w:t>
      </w:r>
      <w:r>
        <w:rPr>
          <w:rFonts w:hint="eastAsia"/>
          <w:color w:val="auto"/>
          <w:lang w:eastAsia="zh-CN"/>
        </w:rPr>
        <w:t>，</w:t>
      </w:r>
      <w:r>
        <w:rPr>
          <w:color w:val="auto"/>
        </w:rPr>
        <w:t>符合水土保持的相关规定</w:t>
      </w:r>
      <w:r>
        <w:rPr>
          <w:rFonts w:hint="eastAsia"/>
          <w:color w:val="auto"/>
          <w:lang w:eastAsia="zh-CN"/>
        </w:rPr>
        <w:t>。</w:t>
      </w:r>
    </w:p>
    <w:p w14:paraId="30FB8F1C">
      <w:pPr>
        <w:ind w:firstLine="480"/>
        <w:rPr>
          <w:rFonts w:hint="eastAsia"/>
          <w:color w:val="auto"/>
          <w:lang w:eastAsia="zh-CN"/>
        </w:rPr>
      </w:pPr>
      <w:r>
        <w:rPr>
          <w:rFonts w:eastAsia="仿宋_GB2312"/>
          <w:color w:val="auto"/>
        </w:rPr>
        <w:t>根据本项目施工组织安排，施工</w:t>
      </w:r>
      <w:r>
        <w:rPr>
          <w:rFonts w:hint="eastAsia"/>
          <w:color w:val="auto"/>
          <w:lang w:val="en-US" w:eastAsia="zh-CN"/>
        </w:rPr>
        <w:t>场地区</w:t>
      </w:r>
      <w:r>
        <w:rPr>
          <w:rFonts w:eastAsia="仿宋_GB2312"/>
          <w:color w:val="auto"/>
        </w:rPr>
        <w:t>均布置于项目永久占地范围内，不新增临时占地，本项目</w:t>
      </w:r>
      <w:r>
        <w:rPr>
          <w:rFonts w:hint="eastAsia"/>
          <w:color w:val="auto"/>
          <w:lang w:val="en-US" w:eastAsia="zh-CN"/>
        </w:rPr>
        <w:t>施工场地</w:t>
      </w:r>
      <w:r>
        <w:rPr>
          <w:rFonts w:eastAsia="仿宋_GB2312"/>
          <w:color w:val="auto"/>
        </w:rPr>
        <w:t>布置紧凑、合理，有利于施工活动便捷地开展，同时又减少施工活动对新增场地的人为扰动，从而减少了水土流失，满足水土保持的防治要求。</w:t>
      </w:r>
    </w:p>
    <w:p w14:paraId="73574D1C">
      <w:pPr>
        <w:ind w:firstLine="480"/>
        <w:rPr>
          <w:rFonts w:eastAsia="仿宋_GB2312"/>
          <w:color w:val="auto"/>
        </w:rPr>
      </w:pPr>
      <w:r>
        <w:rPr>
          <w:rFonts w:eastAsia="仿宋_GB2312"/>
          <w:color w:val="auto"/>
        </w:rPr>
        <w:t>本项目施工道路利用项目区外已建成道路。项目给排水、供电均可就近在相关接口引入（出），不需要新增占地。在项目施工中，扰动范围周围均布置了围栏，控制了扰动范围，满足施工要求，从水土保持角度分析，该区域没有影响周边道路交通，也没有对周边群众生产生活造成影响。</w:t>
      </w:r>
    </w:p>
    <w:p w14:paraId="4BBAE08D">
      <w:pPr>
        <w:ind w:firstLine="480"/>
        <w:rPr>
          <w:rFonts w:eastAsia="仿宋_GB2312"/>
          <w:color w:val="auto"/>
        </w:rPr>
      </w:pPr>
      <w:r>
        <w:rPr>
          <w:rFonts w:eastAsia="仿宋_GB2312"/>
          <w:color w:val="auto"/>
        </w:rPr>
        <w:t>从水土保持角度分析，项目占地面积合理，不存在漏项，占地性质符合区域土地利用规划总体要求，符合节约用地和减少扰动的水土保持要求，因此项目占地是合理可行的。</w:t>
      </w:r>
    </w:p>
    <w:p w14:paraId="5133E75A">
      <w:pPr>
        <w:pStyle w:val="5"/>
        <w:bidi w:val="0"/>
      </w:pPr>
      <w:r>
        <w:rPr>
          <w:rFonts w:hint="eastAsia"/>
        </w:rPr>
        <w:t>3.2.3土石方平衡评价</w:t>
      </w:r>
    </w:p>
    <w:p w14:paraId="18BCDB6F">
      <w:pPr>
        <w:numPr>
          <w:ilvl w:val="0"/>
          <w:numId w:val="6"/>
        </w:numPr>
        <w:ind w:firstLine="480"/>
        <w:rPr>
          <w:rFonts w:hint="eastAsia" w:eastAsia="仿宋_GB2312"/>
          <w:bCs/>
          <w:color w:val="auto"/>
        </w:rPr>
      </w:pPr>
      <w:r>
        <w:rPr>
          <w:rFonts w:hint="eastAsia" w:eastAsia="仿宋_GB2312"/>
          <w:bCs/>
          <w:color w:val="auto"/>
        </w:rPr>
        <w:t>表土分析</w:t>
      </w:r>
    </w:p>
    <w:p w14:paraId="7CE6ABC8">
      <w:pPr>
        <w:bidi w:val="0"/>
        <w:rPr>
          <w:rFonts w:hint="eastAsia"/>
          <w:color w:val="auto"/>
          <w:lang w:val="en-US" w:eastAsia="zh-CN"/>
        </w:rPr>
      </w:pPr>
      <w:r>
        <w:rPr>
          <w:rFonts w:hint="eastAsia"/>
          <w:color w:val="auto"/>
          <w:lang w:val="en-US" w:eastAsia="zh-CN"/>
        </w:rPr>
        <w:t>根据地勘报告和现场调查，项目现场原始占地为耕地，已由政府进行统一场平施工，项目内部现无可剥离表土资源，不具备表土剥离条件。</w:t>
      </w:r>
    </w:p>
    <w:p w14:paraId="0D028CCC">
      <w:pPr>
        <w:numPr>
          <w:ilvl w:val="0"/>
          <w:numId w:val="6"/>
        </w:numPr>
        <w:ind w:firstLine="480"/>
        <w:rPr>
          <w:rFonts w:hint="eastAsia" w:eastAsia="仿宋_GB2312"/>
          <w:bCs/>
          <w:color w:val="auto"/>
        </w:rPr>
      </w:pPr>
      <w:r>
        <w:rPr>
          <w:rFonts w:hint="eastAsia"/>
          <w:bCs/>
          <w:color w:val="auto"/>
          <w:lang w:val="en-US" w:eastAsia="zh-CN"/>
        </w:rPr>
        <w:t>基础</w:t>
      </w:r>
      <w:r>
        <w:rPr>
          <w:rFonts w:hint="eastAsia" w:eastAsia="仿宋_GB2312"/>
          <w:bCs/>
          <w:color w:val="auto"/>
        </w:rPr>
        <w:t>土石方</w:t>
      </w:r>
    </w:p>
    <w:p w14:paraId="3ADFFF35">
      <w:pPr>
        <w:ind w:firstLine="480"/>
        <w:rPr>
          <w:rFonts w:hint="eastAsia" w:eastAsia="仿宋_GB2312"/>
          <w:color w:val="auto"/>
        </w:rPr>
      </w:pPr>
      <w:r>
        <w:rPr>
          <w:rFonts w:hint="eastAsia" w:eastAsia="仿宋_GB2312"/>
          <w:color w:val="auto"/>
        </w:rPr>
        <w:t>项目区建设</w:t>
      </w:r>
      <w:r>
        <w:rPr>
          <w:rFonts w:hint="eastAsia"/>
          <w:color w:val="auto"/>
          <w:lang w:val="en-US" w:eastAsia="zh-CN"/>
        </w:rPr>
        <w:t>前，已由政府统一进行了场平，本项目</w:t>
      </w:r>
      <w:r>
        <w:rPr>
          <w:rFonts w:hint="eastAsia" w:eastAsia="仿宋_GB2312"/>
          <w:color w:val="auto"/>
        </w:rPr>
        <w:t>进行</w:t>
      </w:r>
      <w:r>
        <w:rPr>
          <w:rFonts w:hint="eastAsia"/>
          <w:color w:val="auto"/>
          <w:lang w:val="en-US" w:eastAsia="zh-CN"/>
        </w:rPr>
        <w:t>建构筑物基础开挖</w:t>
      </w:r>
      <w:r>
        <w:rPr>
          <w:rFonts w:hint="eastAsia" w:eastAsia="仿宋_GB2312"/>
          <w:color w:val="auto"/>
        </w:rPr>
        <w:t>，工程开挖土石方主要来源于雨水管、污水管等管道开挖，本项目开挖过程中</w:t>
      </w:r>
      <w:r>
        <w:rPr>
          <w:rFonts w:hint="eastAsia" w:eastAsia="仿宋_GB2312"/>
          <w:color w:val="auto"/>
          <w:lang w:val="en-US" w:eastAsia="zh-CN"/>
        </w:rPr>
        <w:t>将</w:t>
      </w:r>
      <w:r>
        <w:rPr>
          <w:rFonts w:hint="eastAsia" w:eastAsia="仿宋_GB2312"/>
          <w:color w:val="auto"/>
        </w:rPr>
        <w:t>严格控制开挖范围，有效控制施工期间土石方量</w:t>
      </w:r>
      <w:r>
        <w:rPr>
          <w:rFonts w:hint="eastAsia" w:eastAsia="仿宋_GB2312"/>
          <w:color w:val="auto"/>
          <w:lang w:val="en-US" w:eastAsia="zh-CN"/>
        </w:rPr>
        <w:t>以</w:t>
      </w:r>
      <w:r>
        <w:rPr>
          <w:rFonts w:hint="eastAsia" w:eastAsia="仿宋_GB2312"/>
          <w:color w:val="auto"/>
        </w:rPr>
        <w:t>符合水土保持要求。</w:t>
      </w:r>
    </w:p>
    <w:p w14:paraId="38BFF2B9">
      <w:pPr>
        <w:numPr>
          <w:ilvl w:val="0"/>
          <w:numId w:val="6"/>
        </w:numPr>
        <w:ind w:firstLine="480"/>
        <w:rPr>
          <w:rFonts w:hint="eastAsia" w:eastAsia="仿宋_GB2312"/>
          <w:bCs/>
          <w:color w:val="auto"/>
        </w:rPr>
      </w:pPr>
      <w:r>
        <w:rPr>
          <w:rFonts w:hint="eastAsia" w:eastAsia="仿宋_GB2312"/>
          <w:bCs/>
          <w:color w:val="auto"/>
        </w:rPr>
        <w:t>土石方平衡</w:t>
      </w:r>
    </w:p>
    <w:p w14:paraId="37FEB9A0">
      <w:pPr>
        <w:bidi w:val="0"/>
        <w:rPr>
          <w:rFonts w:hint="eastAsia" w:eastAsia="仿宋_GB2312"/>
          <w:bCs/>
          <w:color w:val="auto"/>
        </w:rPr>
      </w:pPr>
      <w:r>
        <w:rPr>
          <w:color w:val="auto"/>
        </w:rPr>
        <w:t>根据工程设计资料，本项目开挖土石方</w:t>
      </w:r>
      <w:r>
        <w:rPr>
          <w:rFonts w:hint="eastAsia"/>
          <w:color w:val="auto"/>
          <w:lang w:val="en-US" w:eastAsia="zh-CN"/>
        </w:rPr>
        <w:t>1.32</w:t>
      </w:r>
      <w:r>
        <w:rPr>
          <w:color w:val="auto"/>
        </w:rPr>
        <w:t>万m</w:t>
      </w:r>
      <w:r>
        <w:rPr>
          <w:color w:val="auto"/>
          <w:vertAlign w:val="superscript"/>
        </w:rPr>
        <w:t>3</w:t>
      </w:r>
      <w:r>
        <w:rPr>
          <w:color w:val="auto"/>
        </w:rPr>
        <w:t>，回填土石方</w:t>
      </w:r>
      <w:r>
        <w:rPr>
          <w:rFonts w:hint="eastAsia"/>
          <w:color w:val="auto"/>
          <w:lang w:val="en-US" w:eastAsia="zh-CN"/>
        </w:rPr>
        <w:t>1.32</w:t>
      </w:r>
      <w:r>
        <w:rPr>
          <w:color w:val="auto"/>
        </w:rPr>
        <w:t>万m</w:t>
      </w:r>
      <w:r>
        <w:rPr>
          <w:color w:val="auto"/>
          <w:vertAlign w:val="superscript"/>
        </w:rPr>
        <w:t>3</w:t>
      </w:r>
      <w:r>
        <w:rPr>
          <w:color w:val="auto"/>
        </w:rPr>
        <w:t>，</w:t>
      </w:r>
      <w:r>
        <w:rPr>
          <w:rFonts w:hint="eastAsia"/>
          <w:color w:val="auto"/>
          <w:lang w:val="en-US" w:eastAsia="zh-CN"/>
        </w:rPr>
        <w:t>无</w:t>
      </w:r>
      <w:r>
        <w:rPr>
          <w:rFonts w:hint="eastAsia" w:eastAsia="仿宋_GB2312"/>
          <w:color w:val="auto"/>
          <w:lang w:val="en-US" w:eastAsia="zh-CN"/>
        </w:rPr>
        <w:t>借方</w:t>
      </w:r>
      <w:r>
        <w:rPr>
          <w:rFonts w:hint="eastAsia"/>
          <w:color w:val="auto"/>
          <w:lang w:val="en-US" w:eastAsia="zh-CN"/>
        </w:rPr>
        <w:t>，无弃方</w:t>
      </w:r>
      <w:r>
        <w:rPr>
          <w:rFonts w:hint="eastAsia" w:eastAsia="仿宋_GB2312"/>
          <w:bCs/>
          <w:color w:val="auto"/>
        </w:rPr>
        <w:t>。</w:t>
      </w:r>
    </w:p>
    <w:p w14:paraId="210D27AD">
      <w:pPr>
        <w:ind w:firstLine="480"/>
        <w:rPr>
          <w:rFonts w:hint="default" w:eastAsia="仿宋_GB2312"/>
          <w:bCs/>
          <w:color w:val="auto"/>
          <w:lang w:val="en-US" w:eastAsia="zh-CN"/>
        </w:rPr>
      </w:pPr>
      <w:r>
        <w:rPr>
          <w:rFonts w:hint="eastAsia" w:eastAsia="仿宋_GB2312"/>
          <w:bCs/>
          <w:color w:val="auto"/>
        </w:rPr>
        <w:t>从水土保持角度分析，本项目的</w:t>
      </w:r>
      <w:r>
        <w:rPr>
          <w:rFonts w:hint="eastAsia"/>
          <w:bCs/>
          <w:color w:val="auto"/>
          <w:lang w:val="en-US" w:eastAsia="zh-CN"/>
        </w:rPr>
        <w:t>挖填平衡，</w:t>
      </w:r>
      <w:r>
        <w:rPr>
          <w:rFonts w:hint="eastAsia" w:eastAsia="仿宋_GB2312"/>
          <w:bCs/>
          <w:color w:val="auto"/>
          <w:lang w:val="en-US" w:eastAsia="zh-CN"/>
        </w:rPr>
        <w:t>实现了</w:t>
      </w:r>
      <w:r>
        <w:rPr>
          <w:rFonts w:hint="eastAsia"/>
          <w:bCs/>
          <w:color w:val="auto"/>
          <w:lang w:val="en-US" w:eastAsia="zh-CN"/>
        </w:rPr>
        <w:t>土石方</w:t>
      </w:r>
      <w:r>
        <w:rPr>
          <w:rFonts w:hint="eastAsia" w:eastAsia="仿宋_GB2312"/>
          <w:bCs/>
          <w:color w:val="auto"/>
        </w:rPr>
        <w:t>综合利用，满足水土保持要求。</w:t>
      </w:r>
    </w:p>
    <w:p w14:paraId="6EF5D842">
      <w:pPr>
        <w:pStyle w:val="5"/>
        <w:numPr>
          <w:ilvl w:val="2"/>
          <w:numId w:val="0"/>
        </w:numPr>
        <w:tabs>
          <w:tab w:val="left" w:pos="284"/>
        </w:tabs>
        <w:rPr>
          <w:rFonts w:hint="default" w:eastAsia="仿宋_GB2312"/>
          <w:color w:val="auto"/>
          <w:lang w:val="en-US" w:eastAsia="zh-CN"/>
        </w:rPr>
      </w:pPr>
      <w:bookmarkStart w:id="97" w:name="_Toc27497"/>
      <w:bookmarkStart w:id="98" w:name="_Toc29739"/>
      <w:r>
        <w:rPr>
          <w:color w:val="auto"/>
        </w:rPr>
        <w:t>3.</w:t>
      </w:r>
      <w:r>
        <w:rPr>
          <w:rFonts w:hint="eastAsia"/>
          <w:color w:val="auto"/>
        </w:rPr>
        <w:t>2.</w:t>
      </w:r>
      <w:r>
        <w:rPr>
          <w:rFonts w:hint="eastAsia"/>
          <w:color w:val="auto"/>
          <w:lang w:val="en-US" w:eastAsia="zh-CN"/>
        </w:rPr>
        <w:t>4</w:t>
      </w:r>
      <w:r>
        <w:rPr>
          <w:rFonts w:hint="eastAsia"/>
          <w:color w:val="auto"/>
        </w:rPr>
        <w:t xml:space="preserve"> </w:t>
      </w:r>
      <w:r>
        <w:rPr>
          <w:color w:val="auto"/>
        </w:rPr>
        <w:t>取土场设置评价</w:t>
      </w:r>
      <w:bookmarkEnd w:id="97"/>
      <w:bookmarkEnd w:id="98"/>
    </w:p>
    <w:p w14:paraId="016C567F">
      <w:pPr>
        <w:snapToGrid w:val="0"/>
        <w:ind w:firstLine="464"/>
        <w:rPr>
          <w:rFonts w:hint="eastAsia" w:eastAsia="仿宋_GB2312"/>
          <w:color w:val="auto"/>
          <w:lang w:eastAsia="zh-CN"/>
        </w:rPr>
      </w:pPr>
      <w:r>
        <w:rPr>
          <w:rFonts w:eastAsia="仿宋_GB2312"/>
          <w:color w:val="auto"/>
        </w:rPr>
        <w:t>本项目不设置取土场</w:t>
      </w:r>
      <w:r>
        <w:rPr>
          <w:rFonts w:hint="eastAsia"/>
          <w:color w:val="auto"/>
          <w:lang w:eastAsia="zh-CN"/>
        </w:rPr>
        <w:t>。</w:t>
      </w:r>
    </w:p>
    <w:p w14:paraId="380689EB">
      <w:pPr>
        <w:pStyle w:val="5"/>
        <w:numPr>
          <w:ilvl w:val="2"/>
          <w:numId w:val="0"/>
        </w:numPr>
        <w:tabs>
          <w:tab w:val="left" w:pos="284"/>
        </w:tabs>
        <w:rPr>
          <w:color w:val="auto"/>
        </w:rPr>
      </w:pPr>
      <w:bookmarkStart w:id="99" w:name="_Toc19238"/>
      <w:bookmarkStart w:id="100" w:name="_Toc29595"/>
      <w:r>
        <w:rPr>
          <w:color w:val="auto"/>
        </w:rPr>
        <w:t>3.</w:t>
      </w:r>
      <w:r>
        <w:rPr>
          <w:rFonts w:hint="eastAsia"/>
          <w:color w:val="auto"/>
        </w:rPr>
        <w:t>2</w:t>
      </w:r>
      <w:r>
        <w:rPr>
          <w:color w:val="auto"/>
        </w:rPr>
        <w:t>.</w:t>
      </w:r>
      <w:r>
        <w:rPr>
          <w:rFonts w:hint="eastAsia"/>
          <w:color w:val="auto"/>
          <w:lang w:val="en-US" w:eastAsia="zh-CN"/>
        </w:rPr>
        <w:t>5</w:t>
      </w:r>
      <w:r>
        <w:rPr>
          <w:rFonts w:hint="eastAsia"/>
          <w:color w:val="auto"/>
        </w:rPr>
        <w:t xml:space="preserve"> </w:t>
      </w:r>
      <w:r>
        <w:rPr>
          <w:color w:val="auto"/>
        </w:rPr>
        <w:t>弃土场设置评价</w:t>
      </w:r>
      <w:bookmarkEnd w:id="99"/>
      <w:bookmarkEnd w:id="100"/>
    </w:p>
    <w:p w14:paraId="564F767B">
      <w:pPr>
        <w:ind w:firstLine="480"/>
        <w:rPr>
          <w:rFonts w:hint="eastAsia" w:eastAsia="仿宋_GB2312"/>
          <w:color w:val="auto"/>
          <w:lang w:val="en-US" w:eastAsia="zh-CN"/>
        </w:rPr>
      </w:pPr>
      <w:r>
        <w:rPr>
          <w:rFonts w:eastAsia="仿宋_GB2312"/>
          <w:color w:val="auto"/>
        </w:rPr>
        <w:t>本项目不设置取土场</w:t>
      </w:r>
      <w:r>
        <w:rPr>
          <w:rFonts w:hint="eastAsia"/>
          <w:color w:val="auto"/>
          <w:lang w:eastAsia="zh-CN"/>
        </w:rPr>
        <w:t>。</w:t>
      </w:r>
    </w:p>
    <w:p w14:paraId="1C3A6482">
      <w:pPr>
        <w:pStyle w:val="5"/>
        <w:numPr>
          <w:ilvl w:val="2"/>
          <w:numId w:val="0"/>
        </w:numPr>
        <w:tabs>
          <w:tab w:val="left" w:pos="284"/>
        </w:tabs>
        <w:rPr>
          <w:color w:val="auto"/>
        </w:rPr>
      </w:pPr>
      <w:bookmarkStart w:id="101" w:name="_Toc14127"/>
      <w:bookmarkStart w:id="102" w:name="_Toc28000"/>
      <w:r>
        <w:rPr>
          <w:color w:val="auto"/>
        </w:rPr>
        <w:t>3.</w:t>
      </w:r>
      <w:r>
        <w:rPr>
          <w:rFonts w:hint="eastAsia"/>
          <w:color w:val="auto"/>
        </w:rPr>
        <w:t>2</w:t>
      </w:r>
      <w:r>
        <w:rPr>
          <w:color w:val="auto"/>
        </w:rPr>
        <w:t>.</w:t>
      </w:r>
      <w:r>
        <w:rPr>
          <w:rFonts w:hint="eastAsia"/>
          <w:color w:val="auto"/>
          <w:lang w:val="en-US" w:eastAsia="zh-CN"/>
        </w:rPr>
        <w:t>6</w:t>
      </w:r>
      <w:r>
        <w:rPr>
          <w:rFonts w:hint="eastAsia"/>
          <w:color w:val="auto"/>
        </w:rPr>
        <w:t xml:space="preserve"> 施工方法与工艺评价</w:t>
      </w:r>
      <w:bookmarkEnd w:id="101"/>
      <w:bookmarkEnd w:id="102"/>
    </w:p>
    <w:p w14:paraId="5DF36255">
      <w:pPr>
        <w:ind w:firstLine="480"/>
        <w:rPr>
          <w:bCs/>
          <w:color w:val="auto"/>
          <w:szCs w:val="24"/>
          <w:lang w:val="zh-CN"/>
        </w:rPr>
      </w:pPr>
      <w:r>
        <w:rPr>
          <w:rFonts w:hint="eastAsia"/>
          <w:bCs/>
          <w:color w:val="auto"/>
          <w:szCs w:val="24"/>
        </w:rPr>
        <w:t>工</w:t>
      </w:r>
      <w:r>
        <w:rPr>
          <w:bCs/>
          <w:color w:val="auto"/>
          <w:szCs w:val="24"/>
          <w:lang w:val="zh-CN"/>
        </w:rPr>
        <w:t>程施工严格控制在征地红线范围内，尽量避凭对周边环境的影响。</w:t>
      </w:r>
    </w:p>
    <w:p w14:paraId="38B46226">
      <w:pPr>
        <w:ind w:firstLine="480"/>
        <w:rPr>
          <w:bCs/>
          <w:color w:val="auto"/>
          <w:szCs w:val="24"/>
          <w:lang w:val="zh-CN"/>
        </w:rPr>
      </w:pPr>
      <w:r>
        <w:rPr>
          <w:rFonts w:hint="eastAsia"/>
          <w:bCs/>
          <w:color w:val="auto"/>
          <w:szCs w:val="24"/>
        </w:rPr>
        <w:t>场</w:t>
      </w:r>
      <w:r>
        <w:rPr>
          <w:bCs/>
          <w:color w:val="auto"/>
          <w:szCs w:val="24"/>
          <w:lang w:val="zh-CN"/>
        </w:rPr>
        <w:t>地内</w:t>
      </w:r>
      <w:r>
        <w:rPr>
          <w:rFonts w:hint="eastAsia"/>
          <w:bCs/>
          <w:color w:val="auto"/>
          <w:szCs w:val="24"/>
        </w:rPr>
        <w:t>施</w:t>
      </w:r>
      <w:r>
        <w:rPr>
          <w:bCs/>
          <w:color w:val="auto"/>
          <w:szCs w:val="24"/>
          <w:lang w:val="zh-CN"/>
        </w:rPr>
        <w:t>工过程以</w:t>
      </w:r>
      <w:r>
        <w:rPr>
          <w:rFonts w:hint="eastAsia"/>
          <w:bCs/>
          <w:color w:val="auto"/>
          <w:szCs w:val="24"/>
        </w:rPr>
        <w:t>机械</w:t>
      </w:r>
      <w:r>
        <w:rPr>
          <w:bCs/>
          <w:color w:val="auto"/>
          <w:szCs w:val="24"/>
          <w:lang w:val="zh-CN"/>
        </w:rPr>
        <w:t>施工为主，人工</w:t>
      </w:r>
      <w:r>
        <w:rPr>
          <w:rFonts w:hint="eastAsia"/>
          <w:bCs/>
          <w:color w:val="auto"/>
          <w:szCs w:val="24"/>
        </w:rPr>
        <w:t>施</w:t>
      </w:r>
      <w:r>
        <w:rPr>
          <w:bCs/>
          <w:color w:val="auto"/>
          <w:szCs w:val="24"/>
          <w:lang w:val="zh-CN"/>
        </w:rPr>
        <w:t>工为</w:t>
      </w:r>
      <w:r>
        <w:rPr>
          <w:rFonts w:hint="eastAsia"/>
          <w:bCs/>
          <w:color w:val="auto"/>
          <w:szCs w:val="24"/>
        </w:rPr>
        <w:t>辅</w:t>
      </w:r>
      <w:r>
        <w:rPr>
          <w:bCs/>
          <w:color w:val="auto"/>
          <w:szCs w:val="24"/>
          <w:lang w:val="zh-CN"/>
        </w:rPr>
        <w:t>。根据实际</w:t>
      </w:r>
      <w:r>
        <w:rPr>
          <w:rFonts w:hint="eastAsia"/>
          <w:bCs/>
          <w:color w:val="auto"/>
          <w:szCs w:val="24"/>
        </w:rPr>
        <w:t>施</w:t>
      </w:r>
      <w:r>
        <w:rPr>
          <w:bCs/>
          <w:color w:val="auto"/>
          <w:szCs w:val="24"/>
          <w:lang w:val="zh-CN"/>
        </w:rPr>
        <w:t>工时序反映项目施工时序安排基本合理得当。</w:t>
      </w:r>
    </w:p>
    <w:p w14:paraId="6670EB2B">
      <w:pPr>
        <w:ind w:firstLine="480"/>
        <w:rPr>
          <w:bCs/>
          <w:color w:val="auto"/>
          <w:szCs w:val="24"/>
          <w:lang w:val="zh-CN"/>
        </w:rPr>
      </w:pPr>
      <w:r>
        <w:rPr>
          <w:bCs/>
          <w:color w:val="auto"/>
          <w:szCs w:val="24"/>
          <w:lang w:val="zh-CN"/>
        </w:rPr>
        <w:t>工程建设不存在大面积</w:t>
      </w:r>
      <w:r>
        <w:rPr>
          <w:rFonts w:hint="eastAsia"/>
          <w:bCs/>
          <w:color w:val="auto"/>
          <w:szCs w:val="24"/>
        </w:rPr>
        <w:t>扰</w:t>
      </w:r>
      <w:r>
        <w:rPr>
          <w:bCs/>
          <w:color w:val="auto"/>
          <w:szCs w:val="24"/>
          <w:lang w:val="zh-CN"/>
        </w:rPr>
        <w:t>动土地，在施工前已对地表进行铺垫，避免了破坏地表土</w:t>
      </w:r>
      <w:r>
        <w:rPr>
          <w:rFonts w:hint="eastAsia"/>
          <w:bCs/>
          <w:color w:val="auto"/>
          <w:szCs w:val="24"/>
        </w:rPr>
        <w:t>壤</w:t>
      </w:r>
      <w:r>
        <w:rPr>
          <w:bCs/>
          <w:color w:val="auto"/>
          <w:szCs w:val="24"/>
          <w:lang w:val="zh-CN"/>
        </w:rPr>
        <w:t>，有</w:t>
      </w:r>
      <w:r>
        <w:rPr>
          <w:rFonts w:hint="eastAsia"/>
          <w:bCs/>
          <w:color w:val="auto"/>
          <w:szCs w:val="24"/>
        </w:rPr>
        <w:t>效避免</w:t>
      </w:r>
      <w:r>
        <w:rPr>
          <w:bCs/>
          <w:color w:val="auto"/>
          <w:szCs w:val="24"/>
          <w:lang w:val="zh-CN"/>
        </w:rPr>
        <w:t>因</w:t>
      </w:r>
      <w:r>
        <w:rPr>
          <w:rFonts w:hint="eastAsia"/>
          <w:bCs/>
          <w:color w:val="auto"/>
          <w:szCs w:val="24"/>
        </w:rPr>
        <w:t>施</w:t>
      </w:r>
      <w:r>
        <w:rPr>
          <w:bCs/>
          <w:color w:val="auto"/>
          <w:szCs w:val="24"/>
          <w:lang w:val="zh-CN"/>
        </w:rPr>
        <w:t>工不当直接造成水土流失的可能，符合水土保持要求。</w:t>
      </w:r>
    </w:p>
    <w:p w14:paraId="0E786DF7">
      <w:pPr>
        <w:pStyle w:val="5"/>
        <w:rPr>
          <w:rFonts w:hint="eastAsia"/>
          <w:color w:val="auto"/>
          <w:highlight w:val="none"/>
        </w:rPr>
      </w:pPr>
      <w:r>
        <w:rPr>
          <w:rFonts w:hint="eastAsia"/>
          <w:color w:val="auto"/>
          <w:highlight w:val="none"/>
        </w:rPr>
        <w:t>3.2.</w:t>
      </w:r>
      <w:r>
        <w:rPr>
          <w:rFonts w:hint="eastAsia"/>
          <w:color w:val="auto"/>
          <w:highlight w:val="none"/>
          <w:lang w:val="en-US" w:eastAsia="zh-CN"/>
        </w:rPr>
        <w:t>7</w:t>
      </w:r>
      <w:r>
        <w:rPr>
          <w:rFonts w:hint="eastAsia"/>
          <w:color w:val="auto"/>
          <w:highlight w:val="none"/>
        </w:rPr>
        <w:t>主体工程</w:t>
      </w:r>
      <w:r>
        <w:rPr>
          <w:rFonts w:hint="eastAsia"/>
          <w:color w:val="auto"/>
          <w:highlight w:val="none"/>
          <w:lang w:val="en-US" w:eastAsia="zh-CN"/>
        </w:rPr>
        <w:t>设计</w:t>
      </w:r>
      <w:r>
        <w:rPr>
          <w:rFonts w:hint="eastAsia"/>
          <w:color w:val="auto"/>
          <w:highlight w:val="none"/>
        </w:rPr>
        <w:t>具有水土保持功能工程的评价</w:t>
      </w:r>
    </w:p>
    <w:p w14:paraId="20E409CB">
      <w:pPr>
        <w:ind w:firstLine="480"/>
        <w:rPr>
          <w:rFonts w:hint="default"/>
          <w:color w:val="auto"/>
          <w:kern w:val="0"/>
          <w:highlight w:val="none"/>
          <w:lang w:val="en-US" w:eastAsia="zh-CN"/>
        </w:rPr>
      </w:pPr>
      <w:r>
        <w:rPr>
          <w:rFonts w:eastAsia="仿宋_GB2312"/>
          <w:bCs/>
          <w:color w:val="auto"/>
          <w:highlight w:val="none"/>
        </w:rPr>
        <w:t>（</w:t>
      </w:r>
      <w:r>
        <w:rPr>
          <w:rFonts w:hint="eastAsia"/>
          <w:bCs/>
          <w:color w:val="auto"/>
          <w:highlight w:val="none"/>
          <w:lang w:val="en-US" w:eastAsia="zh-CN"/>
        </w:rPr>
        <w:t>1</w:t>
      </w:r>
      <w:r>
        <w:rPr>
          <w:rFonts w:eastAsia="仿宋_GB2312"/>
          <w:bCs/>
          <w:color w:val="auto"/>
          <w:highlight w:val="none"/>
        </w:rPr>
        <w:t>）</w:t>
      </w:r>
      <w:r>
        <w:rPr>
          <w:rFonts w:hint="eastAsia"/>
          <w:color w:val="auto"/>
          <w:kern w:val="0"/>
          <w:highlight w:val="none"/>
          <w:lang w:val="en-US" w:eastAsia="zh-CN"/>
        </w:rPr>
        <w:t>道路硬化区</w:t>
      </w:r>
    </w:p>
    <w:p w14:paraId="7B3DB8FB">
      <w:pPr>
        <w:ind w:firstLine="480"/>
        <w:rPr>
          <w:rFonts w:hint="eastAsia"/>
          <w:color w:val="auto"/>
          <w:kern w:val="0"/>
          <w:highlight w:val="none"/>
          <w:lang w:val="en-US" w:eastAsia="zh-CN"/>
        </w:rPr>
      </w:pPr>
      <w:r>
        <w:rPr>
          <w:rFonts w:hint="eastAsia"/>
          <w:color w:val="auto"/>
          <w:highlight w:val="none"/>
          <w:lang w:val="en-US" w:eastAsia="zh-CN"/>
        </w:rPr>
        <w:t>1）</w:t>
      </w:r>
      <w:r>
        <w:rPr>
          <w:rFonts w:hint="eastAsia" w:eastAsia="仿宋_GB2312"/>
          <w:color w:val="auto"/>
          <w:kern w:val="0"/>
          <w:highlight w:val="none"/>
          <w:lang w:val="en-US" w:eastAsia="zh-CN"/>
        </w:rPr>
        <w:t>雨水口、雨水管道</w:t>
      </w:r>
    </w:p>
    <w:p w14:paraId="3007AE4B">
      <w:pPr>
        <w:ind w:firstLine="480"/>
        <w:rPr>
          <w:rFonts w:hint="eastAsia"/>
          <w:color w:val="auto"/>
          <w:highlight w:val="none"/>
        </w:rPr>
      </w:pPr>
      <w:r>
        <w:rPr>
          <w:rFonts w:hint="eastAsia"/>
          <w:color w:val="auto"/>
          <w:szCs w:val="24"/>
          <w:highlight w:val="none"/>
          <w:lang w:val="en-US" w:eastAsia="zh-CN"/>
        </w:rPr>
        <w:t>主</w:t>
      </w:r>
      <w:r>
        <w:rPr>
          <w:color w:val="auto"/>
          <w:szCs w:val="24"/>
          <w:highlight w:val="none"/>
        </w:rPr>
        <w:t>体工程设计在项目区内布置雨水管网、雨水口具有水土保持功能的</w:t>
      </w:r>
      <w:r>
        <w:rPr>
          <w:rFonts w:hint="eastAsia"/>
          <w:color w:val="auto"/>
          <w:szCs w:val="24"/>
          <w:highlight w:val="none"/>
        </w:rPr>
        <w:t>措施</w:t>
      </w:r>
      <w:r>
        <w:rPr>
          <w:color w:val="auto"/>
          <w:szCs w:val="24"/>
          <w:highlight w:val="none"/>
        </w:rPr>
        <w:t>，雨水通过雨水篦子后进入排水支管再进入雨水干管，</w:t>
      </w:r>
      <w:r>
        <w:rPr>
          <w:rFonts w:hint="eastAsia"/>
          <w:color w:val="auto"/>
          <w:szCs w:val="24"/>
          <w:highlight w:val="none"/>
          <w:lang w:val="en-US" w:eastAsia="zh-CN"/>
        </w:rPr>
        <w:t>地上工程</w:t>
      </w:r>
      <w:r>
        <w:rPr>
          <w:rFonts w:hint="eastAsia"/>
          <w:color w:val="auto"/>
          <w:szCs w:val="24"/>
          <w:highlight w:val="none"/>
        </w:rPr>
        <w:t>区内沿硬化道路</w:t>
      </w:r>
      <w:r>
        <w:rPr>
          <w:color w:val="auto"/>
          <w:szCs w:val="24"/>
          <w:highlight w:val="none"/>
        </w:rPr>
        <w:t>设置雨水管</w:t>
      </w:r>
      <w:r>
        <w:rPr>
          <w:rFonts w:hint="eastAsia"/>
          <w:color w:val="auto"/>
          <w:szCs w:val="24"/>
          <w:highlight w:val="none"/>
        </w:rPr>
        <w:t>、</w:t>
      </w:r>
      <w:r>
        <w:rPr>
          <w:color w:val="auto"/>
          <w:szCs w:val="24"/>
          <w:highlight w:val="none"/>
        </w:rPr>
        <w:t>雨水口，雨水口通过支管与雨水干管连接。</w:t>
      </w:r>
      <w:r>
        <w:rPr>
          <w:bCs/>
          <w:color w:val="auto"/>
          <w:szCs w:val="24"/>
          <w:highlight w:val="none"/>
        </w:rPr>
        <w:t>雨水管总长</w:t>
      </w:r>
      <w:r>
        <w:rPr>
          <w:rFonts w:hint="eastAsia"/>
          <w:bCs/>
          <w:color w:val="auto"/>
          <w:szCs w:val="24"/>
          <w:highlight w:val="none"/>
          <w:lang w:val="en-US" w:eastAsia="zh-CN"/>
        </w:rPr>
        <w:t>1600</w:t>
      </w:r>
      <w:r>
        <w:rPr>
          <w:bCs/>
          <w:color w:val="auto"/>
          <w:szCs w:val="24"/>
          <w:highlight w:val="none"/>
        </w:rPr>
        <w:t>m，</w:t>
      </w:r>
      <w:r>
        <w:rPr>
          <w:rFonts w:hint="eastAsia"/>
          <w:color w:val="auto"/>
          <w:highlight w:val="none"/>
        </w:rPr>
        <w:t>道路外侧</w:t>
      </w:r>
      <w:r>
        <w:rPr>
          <w:color w:val="auto"/>
          <w:highlight w:val="none"/>
        </w:rPr>
        <w:t>地表设置雨水口用于收集地表雨水，</w:t>
      </w:r>
      <w:r>
        <w:rPr>
          <w:rFonts w:hint="eastAsia"/>
          <w:color w:val="auto"/>
          <w:highlight w:val="none"/>
        </w:rPr>
        <w:t>有路沿石的雨水口采用砖砌偏沟式雨水口，无路沿石的雨水口采用平箅式雨水口，共布设雨水口</w:t>
      </w:r>
      <w:r>
        <w:rPr>
          <w:rFonts w:hint="eastAsia"/>
          <w:color w:val="auto"/>
          <w:highlight w:val="none"/>
          <w:lang w:val="en-US" w:eastAsia="zh-CN"/>
        </w:rPr>
        <w:t>40</w:t>
      </w:r>
      <w:r>
        <w:rPr>
          <w:rFonts w:hint="eastAsia"/>
          <w:color w:val="auto"/>
          <w:highlight w:val="none"/>
        </w:rPr>
        <w:t>座。</w:t>
      </w:r>
    </w:p>
    <w:p w14:paraId="28117E19">
      <w:pPr>
        <w:ind w:firstLine="480"/>
        <w:rPr>
          <w:rFonts w:hint="default"/>
          <w:color w:val="auto"/>
          <w:kern w:val="0"/>
          <w:highlight w:val="none"/>
          <w:lang w:val="en-US" w:eastAsia="zh-CN"/>
        </w:rPr>
      </w:pPr>
      <w:r>
        <w:rPr>
          <w:color w:val="auto"/>
          <w:highlight w:val="none"/>
        </w:rPr>
        <w:t>主体工程设计</w:t>
      </w:r>
      <w:r>
        <w:rPr>
          <w:rFonts w:hint="eastAsia"/>
          <w:color w:val="auto"/>
          <w:highlight w:val="none"/>
        </w:rPr>
        <w:t>的雨水管网</w:t>
      </w:r>
      <w:r>
        <w:rPr>
          <w:color w:val="auto"/>
          <w:highlight w:val="none"/>
        </w:rPr>
        <w:t>能够有效排除</w:t>
      </w:r>
      <w:r>
        <w:rPr>
          <w:rFonts w:hint="eastAsia"/>
          <w:color w:val="auto"/>
          <w:highlight w:val="none"/>
        </w:rPr>
        <w:t>项目地块内的雨水，能起到较好的水土保持作用，具有较好的水土保持功能</w:t>
      </w:r>
      <w:r>
        <w:rPr>
          <w:rFonts w:hint="eastAsia"/>
          <w:color w:val="auto"/>
          <w:highlight w:val="none"/>
          <w:lang w:eastAsia="zh-CN"/>
        </w:rPr>
        <w:t>。</w:t>
      </w:r>
    </w:p>
    <w:p w14:paraId="63080D02">
      <w:pPr>
        <w:pStyle w:val="3"/>
        <w:rPr>
          <w:color w:val="auto"/>
        </w:rPr>
      </w:pPr>
      <w:bookmarkStart w:id="103" w:name="_Toc9516"/>
      <w:r>
        <w:rPr>
          <w:rFonts w:hint="eastAsia"/>
          <w:color w:val="auto"/>
        </w:rPr>
        <w:t>3.3主体工程</w:t>
      </w:r>
      <w:r>
        <w:rPr>
          <w:rFonts w:hint="eastAsia"/>
          <w:color w:val="auto"/>
          <w:lang w:val="en-US" w:eastAsia="zh-CN"/>
        </w:rPr>
        <w:t>设计中</w:t>
      </w:r>
      <w:r>
        <w:rPr>
          <w:rFonts w:hint="eastAsia"/>
          <w:color w:val="auto"/>
        </w:rPr>
        <w:t>水土保持措施界定</w:t>
      </w:r>
      <w:bookmarkEnd w:id="103"/>
    </w:p>
    <w:p w14:paraId="15D3ADE6">
      <w:pPr>
        <w:widowControl/>
        <w:snapToGrid w:val="0"/>
        <w:ind w:firstLine="480"/>
        <w:textAlignment w:val="auto"/>
        <w:rPr>
          <w:rFonts w:hint="default" w:ascii="Times New Roman" w:hAnsi="Times New Roman" w:cs="Times New Roman"/>
          <w:snapToGrid w:val="0"/>
          <w:color w:val="auto"/>
          <w:szCs w:val="24"/>
          <w:highlight w:val="none"/>
        </w:rPr>
      </w:pPr>
      <w:r>
        <w:rPr>
          <w:rFonts w:hint="default" w:ascii="Times New Roman" w:hAnsi="Times New Roman" w:cs="Times New Roman"/>
          <w:snapToGrid w:val="0"/>
          <w:color w:val="auto"/>
          <w:szCs w:val="24"/>
          <w:highlight w:val="none"/>
        </w:rPr>
        <w:t>（1）水土保持措施的界定原则</w:t>
      </w:r>
    </w:p>
    <w:p w14:paraId="59CCA6D4">
      <w:pPr>
        <w:widowControl/>
        <w:snapToGrid w:val="0"/>
        <w:ind w:firstLine="480"/>
        <w:textAlignment w:val="auto"/>
        <w:rPr>
          <w:rFonts w:hint="default" w:ascii="Times New Roman" w:hAnsi="Times New Roman" w:cs="Times New Roman"/>
          <w:snapToGrid w:val="0"/>
          <w:color w:val="auto"/>
          <w:szCs w:val="24"/>
          <w:highlight w:val="none"/>
        </w:rPr>
      </w:pPr>
      <w:r>
        <w:rPr>
          <w:rFonts w:hint="default" w:ascii="Times New Roman" w:hAnsi="Times New Roman" w:cs="Times New Roman"/>
          <w:snapToGrid w:val="0"/>
          <w:color w:val="auto"/>
          <w:szCs w:val="24"/>
          <w:highlight w:val="none"/>
        </w:rPr>
        <w:t>《生产建设项目水土保持技术标准》规定以下原则：</w:t>
      </w:r>
    </w:p>
    <w:p w14:paraId="3BE37034">
      <w:pPr>
        <w:widowControl/>
        <w:snapToGrid w:val="0"/>
        <w:ind w:firstLine="480"/>
        <w:textAlignment w:val="auto"/>
        <w:rPr>
          <w:rFonts w:hint="default" w:ascii="Times New Roman" w:hAnsi="Times New Roman" w:cs="Times New Roman"/>
          <w:snapToGrid w:val="0"/>
          <w:color w:val="auto"/>
          <w:szCs w:val="24"/>
          <w:highlight w:val="none"/>
        </w:rPr>
      </w:pPr>
      <w:r>
        <w:rPr>
          <w:rFonts w:hint="default" w:ascii="Times New Roman" w:hAnsi="Times New Roman" w:cs="Times New Roman"/>
          <w:snapToGrid w:val="0"/>
          <w:color w:val="auto"/>
          <w:szCs w:val="24"/>
          <w:highlight w:val="none"/>
        </w:rPr>
        <w:t>①主导功能原则，以防治水土流失为目的的工程为水土保持工程；以主体设计功能为主，同时具有水土保持功能的工程，不作为水土保持工程。</w:t>
      </w:r>
    </w:p>
    <w:p w14:paraId="791ADC3D">
      <w:pPr>
        <w:widowControl/>
        <w:snapToGrid w:val="0"/>
        <w:ind w:firstLine="480"/>
        <w:textAlignment w:val="auto"/>
        <w:rPr>
          <w:rFonts w:hint="default" w:ascii="Times New Roman" w:hAnsi="Times New Roman" w:cs="Times New Roman"/>
          <w:snapToGrid w:val="0"/>
          <w:color w:val="auto"/>
          <w:szCs w:val="24"/>
          <w:highlight w:val="none"/>
        </w:rPr>
      </w:pPr>
      <w:r>
        <w:rPr>
          <w:rFonts w:hint="default" w:ascii="Times New Roman" w:hAnsi="Times New Roman" w:cs="Times New Roman"/>
          <w:snapToGrid w:val="0"/>
          <w:color w:val="auto"/>
          <w:szCs w:val="24"/>
          <w:highlight w:val="none"/>
        </w:rPr>
        <w:t>②责任区分原则，对建设项目临时征地、占地范围内的各项防护工程均作为水土保持工程。</w:t>
      </w:r>
    </w:p>
    <w:p w14:paraId="6C053EB1">
      <w:pPr>
        <w:widowControl/>
        <w:snapToGrid w:val="0"/>
        <w:ind w:firstLine="480"/>
        <w:textAlignment w:val="auto"/>
        <w:rPr>
          <w:rFonts w:hint="default" w:ascii="Times New Roman" w:hAnsi="Times New Roman" w:cs="Times New Roman"/>
          <w:snapToGrid w:val="0"/>
          <w:color w:val="auto"/>
          <w:szCs w:val="24"/>
          <w:highlight w:val="none"/>
        </w:rPr>
      </w:pPr>
      <w:r>
        <w:rPr>
          <w:rFonts w:hint="default" w:ascii="Times New Roman" w:hAnsi="Times New Roman" w:cs="Times New Roman"/>
          <w:snapToGrid w:val="0"/>
          <w:color w:val="auto"/>
          <w:szCs w:val="24"/>
          <w:highlight w:val="none"/>
        </w:rPr>
        <w:t>③试验排除原则，难以区分以主体设计功能为主或以水土保持功能为主的工程，可按破坏性试验的原则进行排除。假定没有这些工程，主体设计功能仍旧可以发挥作用，但会产生较大的水土流失，此类工程应作为水土保持工程。</w:t>
      </w:r>
    </w:p>
    <w:p w14:paraId="11A3A4D1">
      <w:pPr>
        <w:widowControl/>
        <w:snapToGrid w:val="0"/>
        <w:ind w:firstLine="480"/>
        <w:textAlignment w:val="auto"/>
        <w:rPr>
          <w:rFonts w:hint="default" w:ascii="Times New Roman" w:hAnsi="Times New Roman" w:eastAsia="仿宋_GB2312" w:cs="Times New Roman"/>
          <w:snapToGrid w:val="0"/>
          <w:color w:val="auto"/>
          <w:szCs w:val="24"/>
          <w:highlight w:val="none"/>
          <w:lang w:eastAsia="zh-CN"/>
        </w:rPr>
      </w:pPr>
      <w:r>
        <w:rPr>
          <w:rFonts w:hint="default" w:ascii="Times New Roman" w:hAnsi="Times New Roman" w:cs="Times New Roman"/>
          <w:snapToGrid w:val="0"/>
          <w:color w:val="auto"/>
          <w:szCs w:val="24"/>
          <w:highlight w:val="none"/>
        </w:rPr>
        <w:t>（2）</w:t>
      </w:r>
      <w:r>
        <w:rPr>
          <w:rFonts w:hint="default" w:ascii="Times New Roman" w:hAnsi="Times New Roman" w:cs="Times New Roman"/>
          <w:snapToGrid w:val="0"/>
          <w:color w:val="auto"/>
          <w:szCs w:val="24"/>
          <w:highlight w:val="none"/>
          <w:lang w:eastAsia="zh-CN"/>
        </w:rPr>
        <w:t>主体工程设计的</w:t>
      </w:r>
      <w:r>
        <w:rPr>
          <w:rFonts w:hint="default" w:ascii="Times New Roman" w:hAnsi="Times New Roman" w:cs="Times New Roman"/>
          <w:snapToGrid w:val="0"/>
          <w:color w:val="auto"/>
          <w:szCs w:val="24"/>
          <w:highlight w:val="none"/>
        </w:rPr>
        <w:t>水土保持措施</w:t>
      </w:r>
      <w:r>
        <w:rPr>
          <w:rFonts w:hint="default" w:ascii="Times New Roman" w:hAnsi="Times New Roman" w:cs="Times New Roman"/>
          <w:snapToGrid w:val="0"/>
          <w:color w:val="auto"/>
          <w:szCs w:val="24"/>
          <w:highlight w:val="none"/>
          <w:lang w:eastAsia="zh-CN"/>
        </w:rPr>
        <w:t>及工程量</w:t>
      </w:r>
    </w:p>
    <w:p w14:paraId="11DA9943">
      <w:pPr>
        <w:ind w:firstLine="480"/>
        <w:rPr>
          <w:rFonts w:eastAsia="仿宋_GB2312"/>
          <w:color w:val="auto"/>
          <w:highlight w:val="none"/>
        </w:rPr>
      </w:pPr>
      <w:r>
        <w:rPr>
          <w:rFonts w:hint="default" w:ascii="Times New Roman" w:hAnsi="Times New Roman" w:cs="Times New Roman"/>
          <w:snapToGrid w:val="0"/>
          <w:color w:val="auto"/>
          <w:szCs w:val="24"/>
          <w:highlight w:val="none"/>
        </w:rPr>
        <w:t>对主体工程涉及以防治水土流失、改善项目区生态环境为主要目的的措施纳入本方案设计的水土保持防护措施体系，同时核列投资。主体工程中纳入水土保持方案中的工程</w:t>
      </w:r>
      <w:r>
        <w:rPr>
          <w:rFonts w:hint="eastAsia" w:cs="Times New Roman"/>
          <w:snapToGrid w:val="0"/>
          <w:color w:val="auto"/>
          <w:szCs w:val="24"/>
          <w:highlight w:val="none"/>
          <w:lang w:val="en-US" w:eastAsia="zh-CN"/>
        </w:rPr>
        <w:t>为雨水管网</w:t>
      </w:r>
      <w:r>
        <w:rPr>
          <w:rFonts w:hint="eastAsia" w:ascii="Times New Roman" w:hAnsi="Times New Roman" w:cs="Times New Roman"/>
          <w:snapToGrid w:val="0"/>
          <w:color w:val="auto"/>
          <w:szCs w:val="24"/>
          <w:highlight w:val="none"/>
          <w:lang w:val="en-US" w:eastAsia="zh-CN"/>
        </w:rPr>
        <w:t>、</w:t>
      </w:r>
      <w:r>
        <w:rPr>
          <w:rFonts w:hint="eastAsia" w:cs="Times New Roman"/>
          <w:snapToGrid w:val="0"/>
          <w:color w:val="auto"/>
          <w:szCs w:val="24"/>
          <w:highlight w:val="none"/>
          <w:lang w:val="en-US" w:eastAsia="zh-CN"/>
        </w:rPr>
        <w:t>雨水口</w:t>
      </w:r>
      <w:r>
        <w:rPr>
          <w:rFonts w:hint="default" w:ascii="Times New Roman" w:hAnsi="Times New Roman" w:cs="Times New Roman"/>
          <w:snapToGrid w:val="0"/>
          <w:color w:val="auto"/>
          <w:szCs w:val="24"/>
          <w:highlight w:val="none"/>
        </w:rPr>
        <w:t>，界定为水土保持措施，纳入本方案设计的水土保持防护措施体系，计列其水土保持投资</w:t>
      </w:r>
      <w:r>
        <w:rPr>
          <w:rFonts w:eastAsia="仿宋_GB2312"/>
          <w:color w:val="auto"/>
          <w:highlight w:val="none"/>
        </w:rPr>
        <w:t>本项目主体工程设计的水土保持措施及其工程量详见表3.</w:t>
      </w:r>
      <w:r>
        <w:rPr>
          <w:rFonts w:hint="eastAsia"/>
          <w:color w:val="auto"/>
          <w:highlight w:val="none"/>
          <w:lang w:val="en-US" w:eastAsia="zh-CN"/>
        </w:rPr>
        <w:t>3</w:t>
      </w:r>
      <w:r>
        <w:rPr>
          <w:rFonts w:eastAsia="仿宋_GB2312"/>
          <w:color w:val="auto"/>
          <w:highlight w:val="none"/>
        </w:rPr>
        <w:t>-1。</w:t>
      </w:r>
    </w:p>
    <w:p w14:paraId="1D1E7EC3">
      <w:pPr>
        <w:ind w:firstLine="482"/>
        <w:jc w:val="center"/>
        <w:rPr>
          <w:rFonts w:hint="eastAsia"/>
          <w:color w:val="auto"/>
          <w:highlight w:val="none"/>
        </w:rPr>
      </w:pPr>
      <w:r>
        <w:rPr>
          <w:rFonts w:eastAsia="仿宋_GB2312"/>
          <w:b/>
          <w:bCs/>
          <w:color w:val="auto"/>
          <w:highlight w:val="none"/>
        </w:rPr>
        <w:t>表3.</w:t>
      </w:r>
      <w:r>
        <w:rPr>
          <w:rFonts w:hint="eastAsia"/>
          <w:b/>
          <w:bCs/>
          <w:color w:val="auto"/>
          <w:highlight w:val="none"/>
          <w:lang w:val="en-US" w:eastAsia="zh-CN"/>
        </w:rPr>
        <w:t>3</w:t>
      </w:r>
      <w:r>
        <w:rPr>
          <w:rFonts w:eastAsia="仿宋_GB2312"/>
          <w:b/>
          <w:bCs/>
          <w:color w:val="auto"/>
          <w:highlight w:val="none"/>
        </w:rPr>
        <w:t>-1 主体工程设计中水土保持措施汇总表</w:t>
      </w:r>
    </w:p>
    <w:tbl>
      <w:tblPr>
        <w:tblStyle w:val="25"/>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271"/>
        <w:gridCol w:w="1213"/>
        <w:gridCol w:w="1347"/>
        <w:gridCol w:w="827"/>
        <w:gridCol w:w="1165"/>
        <w:gridCol w:w="1165"/>
        <w:gridCol w:w="1296"/>
      </w:tblGrid>
      <w:tr w14:paraId="48AA8D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1C097">
            <w:pPr>
              <w:pStyle w:val="34"/>
              <w:bidi w:val="0"/>
            </w:pPr>
            <w:r>
              <w:rPr>
                <w:rFonts w:hint="eastAsia"/>
                <w:lang w:val="en-US" w:eastAsia="zh-CN"/>
              </w:rPr>
              <w:t>项目组成</w:t>
            </w:r>
          </w:p>
        </w:tc>
        <w:tc>
          <w:tcPr>
            <w:tcW w:w="1394"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C0A0C">
            <w:pPr>
              <w:pStyle w:val="34"/>
              <w:bidi w:val="0"/>
              <w:rPr>
                <w:rFonts w:hint="eastAsia"/>
              </w:rPr>
            </w:pPr>
            <w:r>
              <w:rPr>
                <w:rFonts w:hint="eastAsia"/>
                <w:lang w:val="en-US" w:eastAsia="zh-CN"/>
              </w:rPr>
              <w:t>措施类型</w:t>
            </w: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969484">
            <w:pPr>
              <w:pStyle w:val="34"/>
              <w:bidi w:val="0"/>
              <w:rPr>
                <w:rFonts w:hint="eastAsia"/>
              </w:rPr>
            </w:pPr>
            <w:r>
              <w:rPr>
                <w:rFonts w:hint="eastAsia"/>
                <w:lang w:val="en-US" w:eastAsia="zh-CN"/>
              </w:rPr>
              <w:t>单位</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FF4F51">
            <w:pPr>
              <w:pStyle w:val="34"/>
              <w:bidi w:val="0"/>
              <w:rPr>
                <w:rFonts w:hint="eastAsia"/>
              </w:rPr>
            </w:pPr>
            <w:r>
              <w:rPr>
                <w:rFonts w:hint="eastAsia"/>
                <w:lang w:val="en-US" w:eastAsia="zh-CN"/>
              </w:rPr>
              <w:t>数量</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BCB8B">
            <w:pPr>
              <w:pStyle w:val="34"/>
              <w:bidi w:val="0"/>
              <w:rPr>
                <w:rFonts w:hint="eastAsia"/>
              </w:rPr>
            </w:pPr>
            <w:r>
              <w:rPr>
                <w:rFonts w:hint="eastAsia"/>
                <w:lang w:val="en-US" w:eastAsia="zh-CN"/>
              </w:rPr>
              <w:t>单价（元）</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BDC11">
            <w:pPr>
              <w:pStyle w:val="34"/>
              <w:bidi w:val="0"/>
              <w:rPr>
                <w:rFonts w:hint="eastAsia"/>
              </w:rPr>
            </w:pPr>
            <w:r>
              <w:rPr>
                <w:rFonts w:hint="eastAsia"/>
                <w:lang w:val="en-US" w:eastAsia="zh-CN"/>
              </w:rPr>
              <w:t>投资（万元）</w:t>
            </w:r>
          </w:p>
        </w:tc>
      </w:tr>
      <w:tr w14:paraId="7453FA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2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DEB10">
            <w:pPr>
              <w:pStyle w:val="34"/>
              <w:bidi w:val="0"/>
              <w:rPr>
                <w:rFonts w:hint="eastAsia"/>
              </w:rPr>
            </w:pPr>
            <w:r>
              <w:rPr>
                <w:rFonts w:hint="eastAsia"/>
                <w:lang w:val="en-US" w:eastAsia="zh-CN"/>
              </w:rPr>
              <w:t>建构筑物区</w:t>
            </w:r>
          </w:p>
        </w:tc>
        <w:tc>
          <w:tcPr>
            <w:tcW w:w="66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D3C9C">
            <w:pPr>
              <w:pStyle w:val="34"/>
              <w:bidi w:val="0"/>
              <w:rPr>
                <w:rFonts w:hint="eastAsia"/>
              </w:rPr>
            </w:pPr>
            <w:r>
              <w:rPr>
                <w:rFonts w:hint="eastAsia"/>
                <w:lang w:val="en-US" w:eastAsia="zh-CN"/>
              </w:rPr>
              <w:t>临时措施</w:t>
            </w:r>
          </w:p>
        </w:tc>
        <w:tc>
          <w:tcPr>
            <w:tcW w:w="7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F2E3D">
            <w:pPr>
              <w:pStyle w:val="34"/>
              <w:bidi w:val="0"/>
              <w:rPr>
                <w:rFonts w:hint="eastAsia"/>
              </w:rPr>
            </w:pPr>
            <w:r>
              <w:rPr>
                <w:rFonts w:hint="eastAsia"/>
                <w:lang w:val="en-US" w:eastAsia="zh-CN"/>
              </w:rPr>
              <w:t>防雨布遮盖</w:t>
            </w:r>
          </w:p>
        </w:tc>
        <w:tc>
          <w:tcPr>
            <w:tcW w:w="45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D57EE">
            <w:pPr>
              <w:pStyle w:val="34"/>
              <w:bidi w:val="0"/>
              <w:rPr>
                <w:rFonts w:hint="default"/>
              </w:rPr>
            </w:pPr>
            <w:r>
              <w:rPr>
                <w:rFonts w:hint="default"/>
                <w:lang w:val="en-US" w:eastAsia="zh-CN"/>
              </w:rPr>
              <w:t>m²</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C4AB21">
            <w:pPr>
              <w:pStyle w:val="34"/>
              <w:bidi w:val="0"/>
              <w:rPr>
                <w:rFonts w:hint="default"/>
              </w:rPr>
            </w:pPr>
            <w:r>
              <w:rPr>
                <w:rFonts w:hint="default"/>
                <w:lang w:val="en-US" w:eastAsia="zh-CN"/>
              </w:rPr>
              <w:t>15000</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428A42">
            <w:pPr>
              <w:pStyle w:val="34"/>
              <w:bidi w:val="0"/>
              <w:rPr>
                <w:rFonts w:hint="default"/>
              </w:rPr>
            </w:pPr>
            <w:r>
              <w:rPr>
                <w:rFonts w:hint="default"/>
                <w:lang w:val="en-US" w:eastAsia="zh-CN"/>
              </w:rPr>
              <w:t>9.2</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1DC771">
            <w:pPr>
              <w:pStyle w:val="34"/>
              <w:bidi w:val="0"/>
              <w:rPr>
                <w:rFonts w:hint="default"/>
              </w:rPr>
            </w:pPr>
            <w:r>
              <w:rPr>
                <w:rFonts w:hint="default"/>
                <w:lang w:val="en-US" w:eastAsia="zh-CN"/>
              </w:rPr>
              <w:t xml:space="preserve">13.80 </w:t>
            </w:r>
          </w:p>
        </w:tc>
      </w:tr>
      <w:tr w14:paraId="6E32EC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23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1C39AC">
            <w:pPr>
              <w:pStyle w:val="34"/>
              <w:bidi w:val="0"/>
              <w:rPr>
                <w:rFonts w:hint="eastAsia"/>
              </w:rPr>
            </w:pPr>
            <w:r>
              <w:rPr>
                <w:rFonts w:hint="eastAsia"/>
                <w:lang w:val="en-US" w:eastAsia="zh-CN"/>
              </w:rPr>
              <w:t>道路硬化区</w:t>
            </w:r>
          </w:p>
        </w:tc>
        <w:tc>
          <w:tcPr>
            <w:tcW w:w="661"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CA7A4">
            <w:pPr>
              <w:pStyle w:val="34"/>
              <w:bidi w:val="0"/>
              <w:rPr>
                <w:rFonts w:hint="eastAsia"/>
              </w:rPr>
            </w:pPr>
            <w:r>
              <w:rPr>
                <w:rFonts w:hint="eastAsia"/>
                <w:lang w:val="en-US" w:eastAsia="zh-CN"/>
              </w:rPr>
              <w:t>工程措施</w:t>
            </w:r>
          </w:p>
        </w:tc>
        <w:tc>
          <w:tcPr>
            <w:tcW w:w="7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0E7C3">
            <w:pPr>
              <w:pStyle w:val="34"/>
              <w:bidi w:val="0"/>
              <w:rPr>
                <w:rFonts w:hint="eastAsia"/>
              </w:rPr>
            </w:pPr>
            <w:r>
              <w:rPr>
                <w:rFonts w:hint="eastAsia"/>
                <w:lang w:val="en-US" w:eastAsia="zh-CN"/>
              </w:rPr>
              <w:t>雨水管</w:t>
            </w:r>
          </w:p>
        </w:tc>
        <w:tc>
          <w:tcPr>
            <w:tcW w:w="4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9187F">
            <w:pPr>
              <w:pStyle w:val="34"/>
              <w:bidi w:val="0"/>
              <w:rPr>
                <w:rFonts w:hint="default"/>
              </w:rPr>
            </w:pPr>
            <w:r>
              <w:rPr>
                <w:rFonts w:hint="default"/>
                <w:lang w:val="en-US" w:eastAsia="zh-CN"/>
              </w:rPr>
              <w:t>m</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84D59">
            <w:pPr>
              <w:pStyle w:val="34"/>
              <w:bidi w:val="0"/>
              <w:rPr>
                <w:rFonts w:hint="default"/>
              </w:rPr>
            </w:pPr>
            <w:r>
              <w:rPr>
                <w:rFonts w:hint="default"/>
                <w:lang w:val="en-US" w:eastAsia="zh-CN"/>
              </w:rPr>
              <w:t>1600</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46A7B">
            <w:pPr>
              <w:pStyle w:val="34"/>
              <w:bidi w:val="0"/>
              <w:rPr>
                <w:rFonts w:hint="default"/>
              </w:rPr>
            </w:pPr>
            <w:r>
              <w:rPr>
                <w:rFonts w:hint="default"/>
                <w:lang w:val="en-US" w:eastAsia="zh-CN"/>
              </w:rPr>
              <w:t>286</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E7570E">
            <w:pPr>
              <w:pStyle w:val="34"/>
              <w:bidi w:val="0"/>
              <w:rPr>
                <w:rFonts w:hint="default"/>
              </w:rPr>
            </w:pPr>
            <w:r>
              <w:rPr>
                <w:rFonts w:hint="default"/>
                <w:lang w:val="en-US" w:eastAsia="zh-CN"/>
              </w:rPr>
              <w:t xml:space="preserve">45.76 </w:t>
            </w:r>
          </w:p>
        </w:tc>
      </w:tr>
      <w:tr w14:paraId="03EF4E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23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18DED">
            <w:pPr>
              <w:pStyle w:val="34"/>
              <w:bidi w:val="0"/>
              <w:rPr>
                <w:rFonts w:hint="eastAsia"/>
              </w:rPr>
            </w:pP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FFFD6">
            <w:pPr>
              <w:pStyle w:val="34"/>
              <w:bidi w:val="0"/>
              <w:rPr>
                <w:rFonts w:hint="eastAsia"/>
              </w:rPr>
            </w:pPr>
          </w:p>
        </w:tc>
        <w:tc>
          <w:tcPr>
            <w:tcW w:w="7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B1DD11">
            <w:pPr>
              <w:pStyle w:val="34"/>
              <w:bidi w:val="0"/>
              <w:rPr>
                <w:rFonts w:hint="eastAsia"/>
              </w:rPr>
            </w:pPr>
            <w:r>
              <w:rPr>
                <w:rFonts w:hint="eastAsia"/>
                <w:lang w:val="en-US" w:eastAsia="zh-CN"/>
              </w:rPr>
              <w:t>单篦雨水口</w:t>
            </w:r>
          </w:p>
        </w:tc>
        <w:tc>
          <w:tcPr>
            <w:tcW w:w="4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7C7149">
            <w:pPr>
              <w:pStyle w:val="34"/>
              <w:bidi w:val="0"/>
              <w:rPr>
                <w:rFonts w:hint="eastAsia"/>
              </w:rPr>
            </w:pPr>
            <w:r>
              <w:rPr>
                <w:rFonts w:hint="eastAsia"/>
                <w:lang w:val="en-US" w:eastAsia="zh-CN"/>
              </w:rPr>
              <w:t>口</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42DA9">
            <w:pPr>
              <w:pStyle w:val="34"/>
              <w:bidi w:val="0"/>
              <w:rPr>
                <w:rFonts w:hint="default"/>
              </w:rPr>
            </w:pPr>
            <w:r>
              <w:rPr>
                <w:rFonts w:hint="default"/>
                <w:lang w:val="en-US" w:eastAsia="zh-CN"/>
              </w:rPr>
              <w:t>50</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E61A74">
            <w:pPr>
              <w:pStyle w:val="34"/>
              <w:bidi w:val="0"/>
              <w:rPr>
                <w:rFonts w:hint="default"/>
              </w:rPr>
            </w:pPr>
            <w:r>
              <w:rPr>
                <w:rFonts w:hint="default"/>
                <w:lang w:val="en-US" w:eastAsia="zh-CN"/>
              </w:rPr>
              <w:t>125</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C1AF2">
            <w:pPr>
              <w:pStyle w:val="34"/>
              <w:bidi w:val="0"/>
              <w:rPr>
                <w:rFonts w:hint="default"/>
              </w:rPr>
            </w:pPr>
            <w:r>
              <w:rPr>
                <w:rFonts w:hint="default"/>
                <w:lang w:val="en-US" w:eastAsia="zh-CN"/>
              </w:rPr>
              <w:t xml:space="preserve">0.63 </w:t>
            </w:r>
          </w:p>
        </w:tc>
      </w:tr>
      <w:tr w14:paraId="22E7D7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23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C7B59">
            <w:pPr>
              <w:pStyle w:val="34"/>
              <w:bidi w:val="0"/>
              <w:rPr>
                <w:rFonts w:hint="eastAsia"/>
              </w:rPr>
            </w:pPr>
          </w:p>
        </w:tc>
        <w:tc>
          <w:tcPr>
            <w:tcW w:w="6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275F9EF">
            <w:pPr>
              <w:pStyle w:val="34"/>
              <w:bidi w:val="0"/>
              <w:rPr>
                <w:rFonts w:hint="eastAsia"/>
              </w:rPr>
            </w:pPr>
            <w:r>
              <w:rPr>
                <w:rFonts w:hint="eastAsia"/>
                <w:lang w:val="en-US" w:eastAsia="zh-CN"/>
              </w:rPr>
              <w:t>临时措施</w:t>
            </w:r>
          </w:p>
        </w:tc>
        <w:tc>
          <w:tcPr>
            <w:tcW w:w="7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A2C8F">
            <w:pPr>
              <w:pStyle w:val="34"/>
              <w:bidi w:val="0"/>
              <w:rPr>
                <w:rFonts w:hint="eastAsia"/>
              </w:rPr>
            </w:pPr>
            <w:r>
              <w:rPr>
                <w:rFonts w:hint="eastAsia"/>
                <w:lang w:val="en-US" w:eastAsia="zh-CN"/>
              </w:rPr>
              <w:t>洗车系统</w:t>
            </w:r>
          </w:p>
        </w:tc>
        <w:tc>
          <w:tcPr>
            <w:tcW w:w="4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C8335F">
            <w:pPr>
              <w:pStyle w:val="34"/>
              <w:bidi w:val="0"/>
              <w:rPr>
                <w:rFonts w:hint="eastAsia"/>
              </w:rPr>
            </w:pPr>
            <w:r>
              <w:rPr>
                <w:rFonts w:hint="eastAsia"/>
                <w:lang w:val="en-US" w:eastAsia="zh-CN"/>
              </w:rPr>
              <w:t>座</w:t>
            </w:r>
          </w:p>
        </w:tc>
        <w:tc>
          <w:tcPr>
            <w:tcW w:w="6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7E3636">
            <w:pPr>
              <w:pStyle w:val="34"/>
              <w:bidi w:val="0"/>
              <w:rPr>
                <w:rFonts w:hint="default"/>
              </w:rPr>
            </w:pPr>
            <w:r>
              <w:rPr>
                <w:rFonts w:hint="default"/>
                <w:lang w:val="en-US" w:eastAsia="zh-CN"/>
              </w:rPr>
              <w:t>1</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08205">
            <w:pPr>
              <w:pStyle w:val="34"/>
              <w:bidi w:val="0"/>
              <w:rPr>
                <w:rFonts w:hint="default"/>
              </w:rPr>
            </w:pPr>
            <w:r>
              <w:rPr>
                <w:rFonts w:hint="default"/>
                <w:lang w:val="en-US" w:eastAsia="zh-CN"/>
              </w:rPr>
              <w:t>3500</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250E72">
            <w:pPr>
              <w:pStyle w:val="34"/>
              <w:bidi w:val="0"/>
              <w:rPr>
                <w:rFonts w:hint="default"/>
              </w:rPr>
            </w:pPr>
            <w:r>
              <w:rPr>
                <w:rFonts w:hint="default"/>
                <w:lang w:val="en-US" w:eastAsia="zh-CN"/>
              </w:rPr>
              <w:t xml:space="preserve">0.35 </w:t>
            </w:r>
          </w:p>
        </w:tc>
      </w:tr>
      <w:tr w14:paraId="65B41B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23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16E28">
            <w:pPr>
              <w:pStyle w:val="34"/>
              <w:bidi w:val="0"/>
              <w:rPr>
                <w:rFonts w:hint="eastAsia"/>
              </w:rPr>
            </w:pP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CA3597">
            <w:pPr>
              <w:pStyle w:val="34"/>
              <w:bidi w:val="0"/>
              <w:rPr>
                <w:rFonts w:hint="eastAsia"/>
              </w:rPr>
            </w:pPr>
          </w:p>
        </w:tc>
        <w:tc>
          <w:tcPr>
            <w:tcW w:w="7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613D3">
            <w:pPr>
              <w:pStyle w:val="34"/>
              <w:bidi w:val="0"/>
              <w:rPr>
                <w:rFonts w:hint="eastAsia"/>
              </w:rPr>
            </w:pPr>
            <w:r>
              <w:rPr>
                <w:rFonts w:hint="eastAsia"/>
                <w:lang w:val="en-US" w:eastAsia="zh-CN"/>
              </w:rPr>
              <w:t>临时排水沟</w:t>
            </w:r>
          </w:p>
        </w:tc>
        <w:tc>
          <w:tcPr>
            <w:tcW w:w="4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825B0A">
            <w:pPr>
              <w:pStyle w:val="34"/>
              <w:bidi w:val="0"/>
              <w:rPr>
                <w:rFonts w:hint="default"/>
              </w:rPr>
            </w:pPr>
            <w:r>
              <w:rPr>
                <w:rFonts w:hint="default"/>
                <w:lang w:val="en-US" w:eastAsia="zh-CN"/>
              </w:rPr>
              <w:t>m</w:t>
            </w:r>
          </w:p>
        </w:tc>
        <w:tc>
          <w:tcPr>
            <w:tcW w:w="6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2C8B87">
            <w:pPr>
              <w:pStyle w:val="34"/>
              <w:bidi w:val="0"/>
              <w:rPr>
                <w:rFonts w:hint="default"/>
              </w:rPr>
            </w:pPr>
            <w:r>
              <w:rPr>
                <w:rFonts w:hint="default"/>
                <w:lang w:val="en-US" w:eastAsia="zh-CN"/>
              </w:rPr>
              <w:t>500</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CAF49">
            <w:pPr>
              <w:pStyle w:val="34"/>
              <w:bidi w:val="0"/>
              <w:rPr>
                <w:rFonts w:hint="default"/>
              </w:rPr>
            </w:pPr>
            <w:r>
              <w:rPr>
                <w:rFonts w:hint="default"/>
                <w:lang w:val="en-US" w:eastAsia="zh-CN"/>
              </w:rPr>
              <w:t xml:space="preserve">0.01 </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62D29D">
            <w:pPr>
              <w:pStyle w:val="34"/>
              <w:bidi w:val="0"/>
              <w:rPr>
                <w:rFonts w:hint="default"/>
              </w:rPr>
            </w:pPr>
            <w:r>
              <w:rPr>
                <w:rFonts w:hint="default"/>
                <w:lang w:val="en-US" w:eastAsia="zh-CN"/>
              </w:rPr>
              <w:t xml:space="preserve">5.00 </w:t>
            </w:r>
          </w:p>
        </w:tc>
      </w:tr>
      <w:tr w14:paraId="4CCAF3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23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64EECD">
            <w:pPr>
              <w:pStyle w:val="34"/>
              <w:bidi w:val="0"/>
              <w:rPr>
                <w:rFonts w:hint="eastAsia"/>
              </w:rPr>
            </w:pP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A93F87">
            <w:pPr>
              <w:pStyle w:val="34"/>
              <w:bidi w:val="0"/>
              <w:rPr>
                <w:rFonts w:hint="eastAsia"/>
              </w:rPr>
            </w:pPr>
          </w:p>
        </w:tc>
        <w:tc>
          <w:tcPr>
            <w:tcW w:w="7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3FFE1">
            <w:pPr>
              <w:pStyle w:val="34"/>
              <w:bidi w:val="0"/>
              <w:rPr>
                <w:rFonts w:hint="eastAsia"/>
              </w:rPr>
            </w:pPr>
            <w:r>
              <w:rPr>
                <w:rFonts w:hint="eastAsia"/>
                <w:lang w:val="en-US" w:eastAsia="zh-CN"/>
              </w:rPr>
              <w:t>临时沉砂池</w:t>
            </w:r>
          </w:p>
        </w:tc>
        <w:tc>
          <w:tcPr>
            <w:tcW w:w="4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E483F8">
            <w:pPr>
              <w:pStyle w:val="34"/>
              <w:bidi w:val="0"/>
              <w:rPr>
                <w:rFonts w:hint="eastAsia"/>
              </w:rPr>
            </w:pPr>
            <w:r>
              <w:rPr>
                <w:rFonts w:hint="eastAsia"/>
                <w:lang w:val="en-US" w:eastAsia="zh-CN"/>
              </w:rPr>
              <w:t>口</w:t>
            </w:r>
          </w:p>
        </w:tc>
        <w:tc>
          <w:tcPr>
            <w:tcW w:w="6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0C2FC">
            <w:pPr>
              <w:pStyle w:val="34"/>
              <w:bidi w:val="0"/>
              <w:rPr>
                <w:rFonts w:hint="default"/>
              </w:rPr>
            </w:pPr>
            <w:r>
              <w:rPr>
                <w:rFonts w:hint="default"/>
                <w:lang w:val="en-US" w:eastAsia="zh-CN"/>
              </w:rPr>
              <w:t>2</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1FB4AA">
            <w:pPr>
              <w:pStyle w:val="34"/>
              <w:bidi w:val="0"/>
              <w:rPr>
                <w:rFonts w:hint="default"/>
              </w:rPr>
            </w:pPr>
            <w:r>
              <w:rPr>
                <w:rFonts w:hint="default"/>
                <w:lang w:val="en-US" w:eastAsia="zh-CN"/>
              </w:rPr>
              <w:t>0</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2BE03F">
            <w:pPr>
              <w:pStyle w:val="34"/>
              <w:bidi w:val="0"/>
              <w:rPr>
                <w:rFonts w:hint="default"/>
              </w:rPr>
            </w:pPr>
            <w:r>
              <w:rPr>
                <w:rFonts w:hint="default"/>
                <w:lang w:val="en-US" w:eastAsia="zh-CN"/>
              </w:rPr>
              <w:t xml:space="preserve">0.00 </w:t>
            </w:r>
          </w:p>
        </w:tc>
      </w:tr>
      <w:tr w14:paraId="546F22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23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22AC4D">
            <w:pPr>
              <w:pStyle w:val="34"/>
              <w:bidi w:val="0"/>
              <w:rPr>
                <w:rFonts w:hint="eastAsia"/>
              </w:rPr>
            </w:pP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F6EA32">
            <w:pPr>
              <w:pStyle w:val="34"/>
              <w:bidi w:val="0"/>
              <w:rPr>
                <w:rFonts w:hint="eastAsia"/>
              </w:rPr>
            </w:pPr>
          </w:p>
        </w:tc>
        <w:tc>
          <w:tcPr>
            <w:tcW w:w="7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05EF27">
            <w:pPr>
              <w:pStyle w:val="34"/>
              <w:bidi w:val="0"/>
              <w:rPr>
                <w:rFonts w:hint="eastAsia"/>
              </w:rPr>
            </w:pPr>
            <w:r>
              <w:rPr>
                <w:rFonts w:hint="eastAsia"/>
                <w:lang w:val="en-US" w:eastAsia="zh-CN"/>
              </w:rPr>
              <w:t>防雨布遮盖</w:t>
            </w:r>
          </w:p>
        </w:tc>
        <w:tc>
          <w:tcPr>
            <w:tcW w:w="45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3DA80">
            <w:pPr>
              <w:pStyle w:val="34"/>
              <w:bidi w:val="0"/>
              <w:rPr>
                <w:rFonts w:hint="default"/>
              </w:rPr>
            </w:pPr>
            <w:r>
              <w:rPr>
                <w:rFonts w:hint="default"/>
                <w:lang w:val="en-US" w:eastAsia="zh-CN"/>
              </w:rPr>
              <w:t>m²</w:t>
            </w:r>
          </w:p>
        </w:tc>
        <w:tc>
          <w:tcPr>
            <w:tcW w:w="6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55BFE">
            <w:pPr>
              <w:pStyle w:val="34"/>
              <w:bidi w:val="0"/>
              <w:rPr>
                <w:rFonts w:hint="default"/>
              </w:rPr>
            </w:pPr>
            <w:r>
              <w:rPr>
                <w:rFonts w:hint="default"/>
                <w:lang w:val="en-US" w:eastAsia="zh-CN"/>
              </w:rPr>
              <w:t>20000</w:t>
            </w:r>
          </w:p>
        </w:tc>
        <w:tc>
          <w:tcPr>
            <w:tcW w:w="63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92292E">
            <w:pPr>
              <w:pStyle w:val="34"/>
              <w:bidi w:val="0"/>
              <w:rPr>
                <w:rFonts w:hint="default"/>
              </w:rPr>
            </w:pPr>
            <w:r>
              <w:rPr>
                <w:rFonts w:hint="default"/>
                <w:lang w:val="en-US" w:eastAsia="zh-CN"/>
              </w:rPr>
              <w:t>9.2</w:t>
            </w:r>
          </w:p>
        </w:tc>
        <w:tc>
          <w:tcPr>
            <w:tcW w:w="6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42E09B">
            <w:pPr>
              <w:pStyle w:val="34"/>
              <w:bidi w:val="0"/>
              <w:rPr>
                <w:rFonts w:hint="default"/>
              </w:rPr>
            </w:pPr>
            <w:r>
              <w:rPr>
                <w:rFonts w:hint="default"/>
                <w:lang w:val="en-US" w:eastAsia="zh-CN"/>
              </w:rPr>
              <w:t xml:space="preserve">18.40 </w:t>
            </w:r>
          </w:p>
        </w:tc>
      </w:tr>
    </w:tbl>
    <w:p w14:paraId="549811C7">
      <w:pPr>
        <w:rPr>
          <w:rFonts w:hint="eastAsia" w:eastAsia="仿宋_GB2312"/>
          <w:lang w:val="en-US" w:eastAsia="zh-CN"/>
        </w:rPr>
        <w:sectPr>
          <w:headerReference r:id="rId15" w:type="default"/>
          <w:pgSz w:w="11906" w:h="16838"/>
          <w:pgMar w:top="1417" w:right="1417" w:bottom="1417" w:left="1417" w:header="1134" w:footer="1134"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lang w:val="en-US" w:eastAsia="zh-CN"/>
        </w:rPr>
        <w:t xml:space="preserve"> </w:t>
      </w:r>
    </w:p>
    <w:p w14:paraId="786868D7">
      <w:pPr>
        <w:pStyle w:val="2"/>
        <w:rPr>
          <w:color w:val="auto"/>
        </w:rPr>
      </w:pPr>
      <w:bookmarkStart w:id="104" w:name="_Toc18770"/>
      <w:r>
        <w:rPr>
          <w:rFonts w:hint="eastAsia"/>
          <w:color w:val="auto"/>
        </w:rPr>
        <w:t>4 水土流失分析与</w:t>
      </w:r>
      <w:r>
        <w:rPr>
          <w:rFonts w:hint="eastAsia"/>
          <w:color w:val="auto"/>
          <w:lang w:val="en-US" w:eastAsia="zh-CN"/>
        </w:rPr>
        <w:t>预测</w:t>
      </w:r>
      <w:bookmarkEnd w:id="104"/>
    </w:p>
    <w:p w14:paraId="4BC7A7A6">
      <w:pPr>
        <w:pStyle w:val="3"/>
        <w:bidi w:val="0"/>
        <w:rPr>
          <w:rFonts w:hint="default"/>
          <w:color w:val="auto"/>
        </w:rPr>
      </w:pPr>
      <w:bookmarkStart w:id="105" w:name="_Toc416298665"/>
      <w:bookmarkStart w:id="106" w:name="_Toc418004867"/>
      <w:bookmarkStart w:id="107" w:name="_Toc1081"/>
      <w:bookmarkStart w:id="108" w:name="_Toc7313"/>
      <w:bookmarkStart w:id="109" w:name="_Toc9511168"/>
      <w:bookmarkStart w:id="110" w:name="_Toc9188_WPSOffice_Level1"/>
      <w:bookmarkStart w:id="111" w:name="_Toc9467"/>
      <w:bookmarkStart w:id="112" w:name="_Toc28685"/>
      <w:r>
        <w:rPr>
          <w:rFonts w:hint="default"/>
          <w:color w:val="auto"/>
        </w:rPr>
        <w:t>4.1</w:t>
      </w:r>
      <w:bookmarkEnd w:id="105"/>
      <w:bookmarkEnd w:id="106"/>
      <w:r>
        <w:rPr>
          <w:rFonts w:hint="default"/>
          <w:color w:val="auto"/>
        </w:rPr>
        <w:t>水土流失现状</w:t>
      </w:r>
      <w:bookmarkEnd w:id="107"/>
      <w:bookmarkEnd w:id="108"/>
      <w:bookmarkEnd w:id="109"/>
      <w:bookmarkEnd w:id="110"/>
      <w:bookmarkEnd w:id="111"/>
      <w:bookmarkEnd w:id="112"/>
    </w:p>
    <w:p w14:paraId="73C7A4CC">
      <w:pPr>
        <w:pStyle w:val="5"/>
        <w:bidi w:val="0"/>
        <w:rPr>
          <w:rFonts w:hint="default"/>
          <w:color w:val="auto"/>
          <w:lang w:val="en-US" w:eastAsia="zh-CN"/>
        </w:rPr>
      </w:pPr>
      <w:r>
        <w:rPr>
          <w:rFonts w:hint="eastAsia"/>
          <w:color w:val="auto"/>
          <w:lang w:val="en-US" w:eastAsia="zh-CN"/>
        </w:rPr>
        <w:t>4.1.1土壤流失现状</w:t>
      </w:r>
    </w:p>
    <w:p w14:paraId="44F2BAD5">
      <w:pPr>
        <w:bidi w:val="0"/>
        <w:rPr>
          <w:rFonts w:ascii="仿宋" w:hAnsi="仿宋" w:eastAsia="仿宋" w:cs="仿宋"/>
        </w:rPr>
      </w:pPr>
      <w:bookmarkStart w:id="113" w:name="_Toc23996"/>
      <w:bookmarkStart w:id="114" w:name="_Toc21300"/>
      <w:bookmarkStart w:id="115" w:name="_Toc6198"/>
      <w:r>
        <w:rPr>
          <w:rFonts w:ascii="仿宋" w:hAnsi="仿宋" w:eastAsia="仿宋" w:cs="仿宋"/>
          <w:spacing w:val="1"/>
        </w:rPr>
        <w:t>根据《全国水土保持规划国家级水土流失重点预防区和重点治理区复核划分成果》</w:t>
      </w:r>
      <w:r>
        <w:rPr>
          <w:rFonts w:ascii="仿宋" w:hAnsi="仿宋" w:eastAsia="仿宋" w:cs="仿宋"/>
          <w:spacing w:val="6"/>
        </w:rPr>
        <w:t xml:space="preserve"> </w:t>
      </w:r>
      <w:r>
        <w:rPr>
          <w:rFonts w:ascii="仿宋" w:hAnsi="仿宋" w:eastAsia="仿宋" w:cs="仿宋"/>
        </w:rPr>
        <w:t>（办水保</w:t>
      </w:r>
      <w:r>
        <w:t>[2013]188</w:t>
      </w:r>
      <w:r>
        <w:rPr>
          <w:rFonts w:ascii="仿宋" w:hAnsi="仿宋" w:eastAsia="仿宋" w:cs="仿宋"/>
        </w:rPr>
        <w:t xml:space="preserve">号）和《四川省省级水土流失重点预防区和重点治理区划分成果》  </w:t>
      </w:r>
      <w:r>
        <w:rPr>
          <w:rFonts w:ascii="仿宋" w:hAnsi="仿宋" w:eastAsia="仿宋" w:cs="仿宋"/>
          <w:spacing w:val="1"/>
        </w:rPr>
        <w:t>（川水函</w:t>
      </w:r>
      <w:r>
        <w:rPr>
          <w:spacing w:val="1"/>
        </w:rPr>
        <w:t>[2017]482</w:t>
      </w:r>
      <w:r>
        <w:rPr>
          <w:rFonts w:ascii="仿宋" w:hAnsi="仿宋" w:eastAsia="仿宋" w:cs="仿宋"/>
          <w:spacing w:val="1"/>
        </w:rPr>
        <w:t>号</w:t>
      </w:r>
      <w:r>
        <w:rPr>
          <w:rFonts w:ascii="仿宋" w:hAnsi="仿宋" w:eastAsia="仿宋" w:cs="仿宋"/>
          <w:spacing w:val="-6"/>
        </w:rPr>
        <w:t>），</w:t>
      </w:r>
      <w:r>
        <w:rPr>
          <w:rFonts w:ascii="仿宋" w:hAnsi="仿宋" w:eastAsia="仿宋" w:cs="仿宋"/>
          <w:spacing w:val="1"/>
        </w:rPr>
        <w:t>本项目所在的雅安</w:t>
      </w:r>
      <w:r>
        <w:rPr>
          <w:rFonts w:ascii="仿宋" w:hAnsi="仿宋" w:eastAsia="仿宋" w:cs="仿宋"/>
        </w:rPr>
        <w:t xml:space="preserve">市雨城区不属于国家级水土流失重点预防  </w:t>
      </w:r>
      <w:r>
        <w:rPr>
          <w:rFonts w:ascii="仿宋" w:hAnsi="仿宋" w:eastAsia="仿宋" w:cs="仿宋"/>
          <w:spacing w:val="-2"/>
        </w:rPr>
        <w:t>区和重点治理区，不属于省级水土流失重点预防区和重点治理区。据《雅安市水土保持</w:t>
      </w:r>
      <w:r>
        <w:rPr>
          <w:rFonts w:ascii="仿宋" w:hAnsi="仿宋" w:eastAsia="仿宋" w:cs="仿宋"/>
          <w:spacing w:val="5"/>
        </w:rPr>
        <w:t xml:space="preserve">  </w:t>
      </w:r>
      <w:r>
        <w:rPr>
          <w:rFonts w:ascii="仿宋" w:hAnsi="仿宋" w:eastAsia="仿宋" w:cs="仿宋"/>
          <w:spacing w:val="-5"/>
        </w:rPr>
        <w:t>规划市级水土流失重点预防区和重点治理区划分成果》，项目区所在地不属于雅安市水土流失重点预防区和重点治理区。项目区土壤侵蚀以水力侵蚀为主， 项目区属西南</w:t>
      </w:r>
      <w:r>
        <w:rPr>
          <w:rFonts w:hint="eastAsia" w:ascii="仿宋" w:hAnsi="仿宋" w:eastAsia="仿宋" w:cs="仿宋"/>
          <w:spacing w:val="-5"/>
          <w:lang w:val="en-US" w:eastAsia="zh-CN"/>
        </w:rPr>
        <w:t>土石山区，</w:t>
      </w:r>
      <w:r>
        <w:rPr>
          <w:rFonts w:ascii="仿宋" w:hAnsi="仿宋" w:eastAsia="仿宋" w:cs="仿宋"/>
          <w:spacing w:val="-1"/>
        </w:rPr>
        <w:t>其容许土壤流失量为</w:t>
      </w:r>
      <w:r>
        <w:rPr>
          <w:rFonts w:ascii="仿宋" w:hAnsi="仿宋" w:eastAsia="仿宋" w:cs="仿宋"/>
          <w:spacing w:val="-48"/>
        </w:rPr>
        <w:t xml:space="preserve"> </w:t>
      </w:r>
      <w:r>
        <w:rPr>
          <w:spacing w:val="-1"/>
        </w:rPr>
        <w:t>500 t/km²·</w:t>
      </w:r>
      <w:r>
        <w:rPr>
          <w:spacing w:val="-2"/>
        </w:rPr>
        <w:t>a</w:t>
      </w:r>
      <w:r>
        <w:rPr>
          <w:rFonts w:ascii="仿宋" w:hAnsi="仿宋" w:eastAsia="仿宋" w:cs="仿宋"/>
          <w:spacing w:val="-2"/>
        </w:rPr>
        <w:t>。</w:t>
      </w:r>
    </w:p>
    <w:p w14:paraId="1315DEFD">
      <w:pPr>
        <w:bidi w:val="0"/>
      </w:pPr>
      <w:r>
        <w:t>根据 2021年雅安市雨城区水土流失监测数据，全区水土流失面积 235.07km</w:t>
      </w:r>
      <w:r>
        <w:rPr>
          <w:vertAlign w:val="superscript"/>
        </w:rPr>
        <w:t>2</w:t>
      </w:r>
      <w:r>
        <w:t>，本 项目所在的区域水土流失类型主要为水力侵蚀，主要表现为面蚀、沟蚀，侵蚀强度表现 为微度，本项目土壤侵蚀模数背景值为300t/km²·a，</w:t>
      </w:r>
    </w:p>
    <w:p w14:paraId="14A525FF">
      <w:pPr>
        <w:pStyle w:val="11"/>
        <w:spacing w:before="12" w:line="219" w:lineRule="auto"/>
        <w:ind w:left="601"/>
        <w:rPr>
          <w:rFonts w:ascii="Arial"/>
          <w:sz w:val="21"/>
        </w:rPr>
      </w:pPr>
      <w:r>
        <w:rPr>
          <w:rFonts w:ascii="仿宋" w:hAnsi="仿宋" w:eastAsia="仿宋" w:cs="仿宋"/>
          <w:spacing w:val="-2"/>
        </w:rPr>
        <w:t>雨城区水土流失现状见表</w:t>
      </w:r>
      <w:r>
        <w:rPr>
          <w:rFonts w:ascii="仿宋" w:hAnsi="仿宋" w:eastAsia="仿宋" w:cs="仿宋"/>
          <w:spacing w:val="-44"/>
        </w:rPr>
        <w:t xml:space="preserve"> </w:t>
      </w:r>
      <w:r>
        <w:rPr>
          <w:spacing w:val="-2"/>
        </w:rPr>
        <w:t>4.1-1</w:t>
      </w:r>
      <w:r>
        <w:rPr>
          <w:rFonts w:ascii="仿宋" w:hAnsi="仿宋" w:eastAsia="仿宋" w:cs="仿宋"/>
          <w:spacing w:val="-2"/>
        </w:rPr>
        <w:t>。</w:t>
      </w:r>
    </w:p>
    <w:p w14:paraId="38488C46">
      <w:pPr>
        <w:pStyle w:val="35"/>
        <w:bidi w:val="0"/>
        <w:rPr>
          <w:rFonts w:ascii="仿宋" w:hAnsi="仿宋" w:eastAsia="仿宋" w:cs="仿宋"/>
          <w:sz w:val="21"/>
          <w:szCs w:val="21"/>
        </w:rPr>
      </w:pPr>
      <w:r>
        <w:rPr>
          <w:rFonts w:ascii="仿宋" w:hAnsi="仿宋" w:eastAsia="仿宋" w:cs="仿宋"/>
          <w:b/>
          <w:bCs/>
          <w:spacing w:val="-2"/>
          <w:sz w:val="21"/>
          <w:szCs w:val="21"/>
        </w:rPr>
        <w:t>表</w:t>
      </w:r>
      <w:r>
        <w:rPr>
          <w:rFonts w:ascii="仿宋" w:hAnsi="仿宋" w:eastAsia="仿宋" w:cs="仿宋"/>
          <w:spacing w:val="-42"/>
          <w:sz w:val="21"/>
          <w:szCs w:val="21"/>
        </w:rPr>
        <w:t xml:space="preserve"> </w:t>
      </w:r>
      <w:r>
        <w:rPr>
          <w:rFonts w:hint="eastAsia" w:eastAsia="仿宋"/>
          <w:b/>
          <w:bCs/>
          <w:spacing w:val="-2"/>
          <w:sz w:val="21"/>
          <w:szCs w:val="21"/>
          <w:lang w:val="en-US" w:eastAsia="zh-CN"/>
        </w:rPr>
        <w:t>4</w:t>
      </w:r>
      <w:r>
        <w:rPr>
          <w:b/>
          <w:bCs/>
          <w:spacing w:val="-2"/>
          <w:sz w:val="21"/>
          <w:szCs w:val="21"/>
        </w:rPr>
        <w:t xml:space="preserve">.1-1    </w:t>
      </w:r>
      <w:r>
        <w:rPr>
          <w:rFonts w:ascii="仿宋" w:hAnsi="仿宋" w:eastAsia="仿宋" w:cs="仿宋"/>
          <w:b/>
          <w:bCs/>
          <w:spacing w:val="-2"/>
          <w:sz w:val="21"/>
          <w:szCs w:val="21"/>
        </w:rPr>
        <w:t>雨城区土壤流失现状表</w:t>
      </w:r>
    </w:p>
    <w:p w14:paraId="32152D0F">
      <w:pPr>
        <w:spacing w:line="29" w:lineRule="exact"/>
      </w:pPr>
    </w:p>
    <w:tbl>
      <w:tblPr>
        <w:tblStyle w:val="97"/>
        <w:tblW w:w="9282"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28"/>
        <w:gridCol w:w="1256"/>
        <w:gridCol w:w="1269"/>
        <w:gridCol w:w="1080"/>
        <w:gridCol w:w="1037"/>
        <w:gridCol w:w="1066"/>
        <w:gridCol w:w="1109"/>
        <w:gridCol w:w="1037"/>
      </w:tblGrid>
      <w:tr w14:paraId="233736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95" w:hRule="atLeast"/>
        </w:trPr>
        <w:tc>
          <w:tcPr>
            <w:tcW w:w="2684" w:type="dxa"/>
            <w:gridSpan w:val="2"/>
            <w:tcBorders>
              <w:top w:val="single" w:color="000000" w:sz="10" w:space="0"/>
              <w:left w:val="nil"/>
            </w:tcBorders>
            <w:vAlign w:val="top"/>
          </w:tcPr>
          <w:p w14:paraId="70A8A9BA">
            <w:pPr>
              <w:pStyle w:val="34"/>
              <w:bidi w:val="0"/>
            </w:pPr>
            <w:r>
              <w:t>行政区划</w:t>
            </w:r>
          </w:p>
        </w:tc>
        <w:tc>
          <w:tcPr>
            <w:tcW w:w="1269" w:type="dxa"/>
            <w:tcBorders>
              <w:top w:val="single" w:color="000000" w:sz="10" w:space="0"/>
            </w:tcBorders>
            <w:vAlign w:val="top"/>
          </w:tcPr>
          <w:p w14:paraId="39393CE4">
            <w:pPr>
              <w:pStyle w:val="34"/>
              <w:bidi w:val="0"/>
            </w:pPr>
            <w:r>
              <w:t>水蚀面积</w:t>
            </w:r>
          </w:p>
        </w:tc>
        <w:tc>
          <w:tcPr>
            <w:tcW w:w="1080" w:type="dxa"/>
            <w:tcBorders>
              <w:top w:val="single" w:color="000000" w:sz="10" w:space="0"/>
            </w:tcBorders>
            <w:vAlign w:val="top"/>
          </w:tcPr>
          <w:p w14:paraId="17738124">
            <w:pPr>
              <w:pStyle w:val="34"/>
              <w:bidi w:val="0"/>
            </w:pPr>
            <w:r>
              <w:t>轻度</w:t>
            </w:r>
          </w:p>
        </w:tc>
        <w:tc>
          <w:tcPr>
            <w:tcW w:w="1037" w:type="dxa"/>
            <w:tcBorders>
              <w:top w:val="single" w:color="000000" w:sz="10" w:space="0"/>
            </w:tcBorders>
            <w:vAlign w:val="top"/>
          </w:tcPr>
          <w:p w14:paraId="075415A2">
            <w:pPr>
              <w:pStyle w:val="34"/>
              <w:bidi w:val="0"/>
            </w:pPr>
            <w:r>
              <w:t>中度</w:t>
            </w:r>
          </w:p>
        </w:tc>
        <w:tc>
          <w:tcPr>
            <w:tcW w:w="1066" w:type="dxa"/>
            <w:tcBorders>
              <w:top w:val="single" w:color="000000" w:sz="10" w:space="0"/>
            </w:tcBorders>
            <w:vAlign w:val="top"/>
          </w:tcPr>
          <w:p w14:paraId="33A0865A">
            <w:pPr>
              <w:pStyle w:val="34"/>
              <w:bidi w:val="0"/>
            </w:pPr>
            <w:r>
              <w:t>强烈</w:t>
            </w:r>
          </w:p>
        </w:tc>
        <w:tc>
          <w:tcPr>
            <w:tcW w:w="1109" w:type="dxa"/>
            <w:tcBorders>
              <w:top w:val="single" w:color="000000" w:sz="10" w:space="0"/>
            </w:tcBorders>
            <w:vAlign w:val="top"/>
          </w:tcPr>
          <w:p w14:paraId="7EDAB47C">
            <w:pPr>
              <w:pStyle w:val="34"/>
              <w:bidi w:val="0"/>
            </w:pPr>
            <w:r>
              <w:t>极强烈</w:t>
            </w:r>
          </w:p>
        </w:tc>
        <w:tc>
          <w:tcPr>
            <w:tcW w:w="1037" w:type="dxa"/>
            <w:tcBorders>
              <w:top w:val="single" w:color="000000" w:sz="10" w:space="0"/>
              <w:right w:val="nil"/>
            </w:tcBorders>
            <w:vAlign w:val="top"/>
          </w:tcPr>
          <w:p w14:paraId="076F4A27">
            <w:pPr>
              <w:pStyle w:val="34"/>
              <w:bidi w:val="0"/>
            </w:pPr>
            <w:r>
              <w:t>剧烈</w:t>
            </w:r>
          </w:p>
        </w:tc>
      </w:tr>
      <w:tr w14:paraId="416D92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92" w:hRule="atLeast"/>
        </w:trPr>
        <w:tc>
          <w:tcPr>
            <w:tcW w:w="1428" w:type="dxa"/>
            <w:vMerge w:val="restart"/>
            <w:tcBorders>
              <w:left w:val="nil"/>
              <w:bottom w:val="nil"/>
            </w:tcBorders>
            <w:vAlign w:val="top"/>
          </w:tcPr>
          <w:p w14:paraId="5F63633C">
            <w:pPr>
              <w:pStyle w:val="34"/>
              <w:bidi w:val="0"/>
            </w:pPr>
            <w:r>
              <w:t>雅安市</w:t>
            </w:r>
          </w:p>
        </w:tc>
        <w:tc>
          <w:tcPr>
            <w:tcW w:w="1256" w:type="dxa"/>
            <w:vAlign w:val="top"/>
          </w:tcPr>
          <w:p w14:paraId="4BC071B3">
            <w:pPr>
              <w:pStyle w:val="34"/>
              <w:bidi w:val="0"/>
            </w:pPr>
            <w:r>
              <w:t>雨城区</w:t>
            </w:r>
          </w:p>
        </w:tc>
        <w:tc>
          <w:tcPr>
            <w:tcW w:w="1269" w:type="dxa"/>
            <w:vAlign w:val="top"/>
          </w:tcPr>
          <w:p w14:paraId="03E72A46">
            <w:pPr>
              <w:pStyle w:val="34"/>
              <w:bidi w:val="0"/>
            </w:pPr>
            <w:r>
              <w:t>235.07</w:t>
            </w:r>
          </w:p>
        </w:tc>
        <w:tc>
          <w:tcPr>
            <w:tcW w:w="1080" w:type="dxa"/>
            <w:vAlign w:val="top"/>
          </w:tcPr>
          <w:p w14:paraId="1811C8BC">
            <w:pPr>
              <w:pStyle w:val="34"/>
              <w:bidi w:val="0"/>
            </w:pPr>
            <w:r>
              <w:t>176.31</w:t>
            </w:r>
          </w:p>
        </w:tc>
        <w:tc>
          <w:tcPr>
            <w:tcW w:w="1037" w:type="dxa"/>
            <w:vAlign w:val="top"/>
          </w:tcPr>
          <w:p w14:paraId="125B52B6">
            <w:pPr>
              <w:pStyle w:val="34"/>
              <w:bidi w:val="0"/>
            </w:pPr>
            <w:r>
              <w:t>22.58</w:t>
            </w:r>
          </w:p>
        </w:tc>
        <w:tc>
          <w:tcPr>
            <w:tcW w:w="1066" w:type="dxa"/>
            <w:vAlign w:val="top"/>
          </w:tcPr>
          <w:p w14:paraId="13C8D4C6">
            <w:pPr>
              <w:pStyle w:val="34"/>
              <w:bidi w:val="0"/>
            </w:pPr>
            <w:r>
              <w:t>9.88</w:t>
            </w:r>
          </w:p>
        </w:tc>
        <w:tc>
          <w:tcPr>
            <w:tcW w:w="1109" w:type="dxa"/>
            <w:vAlign w:val="top"/>
          </w:tcPr>
          <w:p w14:paraId="7874A6A4">
            <w:pPr>
              <w:pStyle w:val="34"/>
              <w:bidi w:val="0"/>
            </w:pPr>
            <w:r>
              <w:t>16.39</w:t>
            </w:r>
          </w:p>
        </w:tc>
        <w:tc>
          <w:tcPr>
            <w:tcW w:w="1037" w:type="dxa"/>
            <w:tcBorders>
              <w:right w:val="nil"/>
            </w:tcBorders>
            <w:vAlign w:val="top"/>
          </w:tcPr>
          <w:p w14:paraId="3EB34E13">
            <w:pPr>
              <w:pStyle w:val="34"/>
              <w:bidi w:val="0"/>
            </w:pPr>
            <w:r>
              <w:t>9.91</w:t>
            </w:r>
          </w:p>
        </w:tc>
      </w:tr>
      <w:tr w14:paraId="4F5E83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4" w:hRule="atLeast"/>
        </w:trPr>
        <w:tc>
          <w:tcPr>
            <w:tcW w:w="1428" w:type="dxa"/>
            <w:vMerge w:val="continue"/>
            <w:tcBorders>
              <w:top w:val="nil"/>
              <w:left w:val="nil"/>
              <w:bottom w:val="single" w:color="000000" w:sz="10" w:space="0"/>
            </w:tcBorders>
            <w:vAlign w:val="top"/>
          </w:tcPr>
          <w:p w14:paraId="5944063D">
            <w:pPr>
              <w:pStyle w:val="34"/>
              <w:bidi w:val="0"/>
            </w:pPr>
          </w:p>
        </w:tc>
        <w:tc>
          <w:tcPr>
            <w:tcW w:w="1256" w:type="dxa"/>
            <w:tcBorders>
              <w:bottom w:val="single" w:color="000000" w:sz="10" w:space="0"/>
            </w:tcBorders>
            <w:vAlign w:val="top"/>
          </w:tcPr>
          <w:p w14:paraId="28D32B9A">
            <w:pPr>
              <w:pStyle w:val="34"/>
              <w:bidi w:val="0"/>
            </w:pPr>
            <w:r>
              <w:t>比例（%）</w:t>
            </w:r>
          </w:p>
        </w:tc>
        <w:tc>
          <w:tcPr>
            <w:tcW w:w="1269" w:type="dxa"/>
            <w:tcBorders>
              <w:bottom w:val="single" w:color="000000" w:sz="10" w:space="0"/>
            </w:tcBorders>
            <w:vAlign w:val="top"/>
          </w:tcPr>
          <w:p w14:paraId="5182398A">
            <w:pPr>
              <w:pStyle w:val="34"/>
              <w:bidi w:val="0"/>
            </w:pPr>
            <w:r>
              <w:t>100</w:t>
            </w:r>
          </w:p>
        </w:tc>
        <w:tc>
          <w:tcPr>
            <w:tcW w:w="1080" w:type="dxa"/>
            <w:tcBorders>
              <w:bottom w:val="single" w:color="000000" w:sz="10" w:space="0"/>
            </w:tcBorders>
            <w:vAlign w:val="top"/>
          </w:tcPr>
          <w:p w14:paraId="5F27672B">
            <w:pPr>
              <w:pStyle w:val="34"/>
              <w:bidi w:val="0"/>
            </w:pPr>
            <w:r>
              <w:t>70.6</w:t>
            </w:r>
          </w:p>
        </w:tc>
        <w:tc>
          <w:tcPr>
            <w:tcW w:w="1037" w:type="dxa"/>
            <w:tcBorders>
              <w:bottom w:val="single" w:color="000000" w:sz="10" w:space="0"/>
            </w:tcBorders>
            <w:vAlign w:val="top"/>
          </w:tcPr>
          <w:p w14:paraId="65A6CC0F">
            <w:pPr>
              <w:pStyle w:val="34"/>
              <w:bidi w:val="0"/>
            </w:pPr>
            <w:r>
              <w:t>9.6</w:t>
            </w:r>
          </w:p>
        </w:tc>
        <w:tc>
          <w:tcPr>
            <w:tcW w:w="1066" w:type="dxa"/>
            <w:tcBorders>
              <w:bottom w:val="single" w:color="000000" w:sz="10" w:space="0"/>
            </w:tcBorders>
            <w:vAlign w:val="top"/>
          </w:tcPr>
          <w:p w14:paraId="0223361B">
            <w:pPr>
              <w:pStyle w:val="34"/>
              <w:bidi w:val="0"/>
            </w:pPr>
            <w:r>
              <w:t>6.0</w:t>
            </w:r>
          </w:p>
        </w:tc>
        <w:tc>
          <w:tcPr>
            <w:tcW w:w="1109" w:type="dxa"/>
            <w:tcBorders>
              <w:bottom w:val="single" w:color="000000" w:sz="10" w:space="0"/>
            </w:tcBorders>
            <w:vAlign w:val="top"/>
          </w:tcPr>
          <w:p w14:paraId="48778B0C">
            <w:pPr>
              <w:pStyle w:val="34"/>
              <w:bidi w:val="0"/>
            </w:pPr>
            <w:r>
              <w:t>8.9</w:t>
            </w:r>
          </w:p>
        </w:tc>
        <w:tc>
          <w:tcPr>
            <w:tcW w:w="1037" w:type="dxa"/>
            <w:tcBorders>
              <w:bottom w:val="single" w:color="000000" w:sz="10" w:space="0"/>
              <w:right w:val="nil"/>
            </w:tcBorders>
            <w:vAlign w:val="top"/>
          </w:tcPr>
          <w:p w14:paraId="2DFE6AC3">
            <w:pPr>
              <w:pStyle w:val="34"/>
              <w:bidi w:val="0"/>
            </w:pPr>
            <w:r>
              <w:t>4.9</w:t>
            </w:r>
          </w:p>
        </w:tc>
      </w:tr>
    </w:tbl>
    <w:p w14:paraId="7155DD55">
      <w:pPr>
        <w:pStyle w:val="5"/>
        <w:bidi w:val="0"/>
        <w:rPr>
          <w:rFonts w:hint="default"/>
          <w:lang w:val="en-US" w:eastAsia="zh-CN"/>
        </w:rPr>
      </w:pPr>
      <w:r>
        <w:rPr>
          <w:rFonts w:hint="eastAsia"/>
          <w:lang w:val="en-US" w:eastAsia="zh-CN"/>
        </w:rPr>
        <w:t>4.1.2</w:t>
      </w:r>
      <w:r>
        <w:rPr>
          <w:rFonts w:hint="default"/>
          <w:lang w:val="en-US" w:eastAsia="zh-CN"/>
        </w:rPr>
        <w:t>水土流失</w:t>
      </w:r>
      <w:bookmarkEnd w:id="113"/>
      <w:bookmarkEnd w:id="114"/>
      <w:bookmarkEnd w:id="115"/>
      <w:r>
        <w:rPr>
          <w:rFonts w:hint="eastAsia"/>
          <w:lang w:val="en-US" w:eastAsia="zh-CN"/>
        </w:rPr>
        <w:t>类型</w:t>
      </w:r>
    </w:p>
    <w:p w14:paraId="2B14FB87">
      <w:pPr>
        <w:bidi w:val="0"/>
        <w:rPr>
          <w:rFonts w:hint="default"/>
          <w:lang w:val="en-US" w:eastAsia="zh-CN"/>
        </w:rPr>
      </w:pPr>
      <w:r>
        <w:rPr>
          <w:rFonts w:hint="default"/>
          <w:lang w:val="en-US" w:eastAsia="zh-CN"/>
        </w:rPr>
        <w:t>工程区水土流失现状是在工程区地形地貌条件、土壤植被等影响水土流失的自然因 素调查和现场测量基础上。参考川水函〔2014〕1723 号文“第七条：土壤侵蚀模数背景 值”规定（按照《土壤侵蚀分类分级标准》（SL190-2007）确定，对有土体的微度流失区，背景值可取300t/（km</w:t>
      </w:r>
      <w:r>
        <w:rPr>
          <w:rFonts w:hint="default"/>
          <w:vertAlign w:val="superscript"/>
          <w:lang w:val="en-US" w:eastAsia="zh-CN"/>
        </w:rPr>
        <w:t>2</w:t>
      </w:r>
      <w:r>
        <w:rPr>
          <w:rFonts w:hint="default"/>
          <w:lang w:val="en-US" w:eastAsia="zh-CN"/>
        </w:rPr>
        <w:t>•a）。微度以上流失区，背景值一般取标准中的区间平均值）。 工程区所在地的水力侵蚀类型区，项目区位于微度侵蚀区域内，地势相对平坦。通过对项目现状水土流失状况进行分析，项目区土壤流失背景值为 300t/（km</w:t>
      </w:r>
      <w:r>
        <w:rPr>
          <w:rFonts w:hint="default"/>
          <w:vertAlign w:val="superscript"/>
          <w:lang w:val="en-US" w:eastAsia="zh-CN"/>
        </w:rPr>
        <w:t>2</w:t>
      </w:r>
      <w:r>
        <w:rPr>
          <w:rFonts w:hint="default"/>
          <w:lang w:val="en-US" w:eastAsia="zh-CN"/>
        </w:rPr>
        <w:t>•a），年平均土壤侵蚀</w:t>
      </w:r>
      <w:r>
        <w:rPr>
          <w:rFonts w:hint="eastAsia"/>
          <w:lang w:val="en-US" w:eastAsia="zh-CN"/>
        </w:rPr>
        <w:t>10.98</w:t>
      </w:r>
      <w:r>
        <w:rPr>
          <w:rFonts w:hint="default"/>
          <w:lang w:val="en-US" w:eastAsia="zh-CN"/>
        </w:rPr>
        <w:t>t ，属微度侵蚀</w:t>
      </w:r>
      <w:r>
        <w:rPr>
          <w:rFonts w:hint="eastAsia"/>
          <w:lang w:val="en-US" w:eastAsia="zh-CN"/>
        </w:rPr>
        <w:t>。</w:t>
      </w:r>
    </w:p>
    <w:p w14:paraId="7CFBC320">
      <w:pPr>
        <w:pStyle w:val="3"/>
        <w:rPr>
          <w:rFonts w:hint="eastAsia"/>
          <w:color w:val="auto"/>
        </w:rPr>
      </w:pPr>
      <w:bookmarkStart w:id="116" w:name="_Toc15856"/>
      <w:r>
        <w:rPr>
          <w:rFonts w:hint="eastAsia"/>
          <w:color w:val="auto"/>
        </w:rPr>
        <w:t>4.2水土流失影响因素分析</w:t>
      </w:r>
      <w:bookmarkEnd w:id="116"/>
    </w:p>
    <w:p w14:paraId="149A5A91">
      <w:pPr>
        <w:pStyle w:val="5"/>
        <w:bidi w:val="0"/>
        <w:rPr>
          <w:color w:val="auto"/>
        </w:rPr>
      </w:pPr>
      <w:bookmarkStart w:id="117" w:name="_Toc310457295"/>
      <w:r>
        <w:rPr>
          <w:rFonts w:hint="eastAsia"/>
          <w:color w:val="auto"/>
          <w:lang w:val="en-US" w:eastAsia="zh-CN"/>
        </w:rPr>
        <w:t>4.2.1</w:t>
      </w:r>
      <w:r>
        <w:rPr>
          <w:color w:val="auto"/>
        </w:rPr>
        <w:t>自然因素</w:t>
      </w:r>
      <w:bookmarkEnd w:id="117"/>
    </w:p>
    <w:p w14:paraId="4CDF71B8">
      <w:pPr>
        <w:numPr>
          <w:ilvl w:val="0"/>
          <w:numId w:val="9"/>
        </w:numPr>
        <w:ind w:firstLineChars="0"/>
        <w:rPr>
          <w:rFonts w:eastAsia="仿宋_GB2312"/>
          <w:color w:val="auto"/>
        </w:rPr>
      </w:pPr>
      <w:r>
        <w:rPr>
          <w:rFonts w:eastAsia="仿宋_GB2312"/>
          <w:color w:val="auto"/>
        </w:rPr>
        <w:t>降雨集中，强度大</w:t>
      </w:r>
    </w:p>
    <w:p w14:paraId="4FEBAA83">
      <w:pPr>
        <w:ind w:firstLine="480"/>
        <w:rPr>
          <w:rFonts w:eastAsia="仿宋_GB2312"/>
          <w:color w:val="auto"/>
        </w:rPr>
      </w:pPr>
      <w:r>
        <w:rPr>
          <w:rFonts w:eastAsia="仿宋_GB2312"/>
          <w:color w:val="auto"/>
        </w:rPr>
        <w:t>降雨是引起水土流失的主要自然因素。据</w:t>
      </w:r>
      <w:r>
        <w:rPr>
          <w:rFonts w:hint="eastAsia"/>
          <w:color w:val="auto"/>
          <w:lang w:eastAsia="zh-CN"/>
        </w:rPr>
        <w:t>雅安市</w:t>
      </w:r>
      <w:r>
        <w:rPr>
          <w:rFonts w:eastAsia="仿宋_GB2312"/>
          <w:color w:val="auto"/>
        </w:rPr>
        <w:t>气象资料，项目所在区域年平均降雨量为</w:t>
      </w:r>
      <w:r>
        <w:rPr>
          <w:rFonts w:hint="eastAsia"/>
          <w:color w:val="auto"/>
          <w:lang w:val="en-US" w:eastAsia="zh-CN"/>
        </w:rPr>
        <w:t>1732.4</w:t>
      </w:r>
      <w:r>
        <w:rPr>
          <w:rFonts w:eastAsia="仿宋_GB2312"/>
          <w:color w:val="auto"/>
        </w:rPr>
        <w:t>mm，降雨的季节分配极不均匀，其中</w:t>
      </w:r>
      <w:r>
        <w:rPr>
          <w:rFonts w:hint="eastAsia"/>
          <w:color w:val="auto"/>
          <w:lang w:val="en-US" w:eastAsia="zh-CN"/>
        </w:rPr>
        <w:t>5~9</w:t>
      </w:r>
      <w:r>
        <w:rPr>
          <w:rFonts w:eastAsia="仿宋_GB2312"/>
          <w:color w:val="auto"/>
        </w:rPr>
        <w:t>月降水量最为集中。</w:t>
      </w:r>
    </w:p>
    <w:p w14:paraId="7EDA6147">
      <w:pPr>
        <w:ind w:firstLine="480"/>
        <w:rPr>
          <w:rFonts w:eastAsia="仿宋_GB2312"/>
          <w:color w:val="auto"/>
        </w:rPr>
      </w:pPr>
      <w:r>
        <w:rPr>
          <w:rFonts w:eastAsia="仿宋_GB2312"/>
          <w:color w:val="auto"/>
        </w:rPr>
        <w:t>降雨量大且集中易超过地面土壤渗透能力，形成超渗径流使地面径流随之增大，使土壤呈饱和状态，一旦遇暴雨形成较大径流，土壤含水量增加，使坡面土体增重，土体内摩擦阻力和</w:t>
      </w:r>
      <w:r>
        <w:rPr>
          <w:rFonts w:hint="eastAsia"/>
          <w:color w:val="auto"/>
          <w:lang w:eastAsia="zh-CN"/>
        </w:rPr>
        <w:t>黏聚力</w:t>
      </w:r>
      <w:r>
        <w:rPr>
          <w:rFonts w:eastAsia="仿宋_GB2312"/>
          <w:color w:val="auto"/>
        </w:rPr>
        <w:t>减小而失去稳定，甚至出现塑性流动状态，在缺乏植被覆盖或植被覆盖较低的地区，由于雨滴溅蚀和径流冲刷作用，极易造成土壤的水力侵蚀，形成面蚀、沟蚀、滑坡等。</w:t>
      </w:r>
    </w:p>
    <w:p w14:paraId="65023621">
      <w:pPr>
        <w:numPr>
          <w:ilvl w:val="0"/>
          <w:numId w:val="9"/>
        </w:numPr>
        <w:ind w:firstLineChars="0"/>
        <w:rPr>
          <w:rFonts w:eastAsia="仿宋_GB2312"/>
          <w:color w:val="auto"/>
        </w:rPr>
      </w:pPr>
      <w:r>
        <w:rPr>
          <w:rFonts w:eastAsia="仿宋_GB2312"/>
          <w:color w:val="auto"/>
        </w:rPr>
        <w:t>岩性、土壤</w:t>
      </w:r>
    </w:p>
    <w:p w14:paraId="7840188E">
      <w:pPr>
        <w:ind w:firstLine="480"/>
        <w:rPr>
          <w:rFonts w:eastAsia="仿宋_GB2312"/>
          <w:color w:val="auto"/>
        </w:rPr>
      </w:pPr>
      <w:r>
        <w:rPr>
          <w:rFonts w:eastAsia="仿宋_GB2312"/>
          <w:color w:val="auto"/>
        </w:rPr>
        <w:t>岩性决定风化的速度，影响水土流失发生的程度。项目区地表出露地层主要为</w:t>
      </w:r>
      <w:r>
        <w:rPr>
          <w:rFonts w:hint="eastAsia"/>
          <w:color w:val="auto"/>
          <w:lang w:eastAsia="zh-CN"/>
        </w:rPr>
        <w:t>人工素填土</w:t>
      </w:r>
      <w:r>
        <w:rPr>
          <w:rFonts w:eastAsia="仿宋_GB2312"/>
          <w:color w:val="auto"/>
        </w:rPr>
        <w:t>，具有粒径不均，岩层松软，易破碎等特点，在高温、冷湿的天气下，</w:t>
      </w:r>
      <w:r>
        <w:rPr>
          <w:rFonts w:hint="eastAsia"/>
          <w:color w:val="auto"/>
          <w:lang w:eastAsia="zh-CN"/>
        </w:rPr>
        <w:t>易</w:t>
      </w:r>
      <w:r>
        <w:rPr>
          <w:rFonts w:eastAsia="仿宋_GB2312"/>
          <w:color w:val="auto"/>
        </w:rPr>
        <w:t>风化剥蚀，形成的土壤土层浅薄，结构性差，保水和抗蚀能力弱，在雨季降雨、径流等作用下，易发生沟蚀、</w:t>
      </w:r>
      <w:r>
        <w:rPr>
          <w:rFonts w:eastAsia="仿宋_GB2312"/>
          <w:color w:val="auto"/>
          <w:highlight w:val="none"/>
        </w:rPr>
        <w:t>面蚀</w:t>
      </w:r>
      <w:r>
        <w:rPr>
          <w:rFonts w:eastAsia="仿宋_GB2312"/>
          <w:color w:val="auto"/>
        </w:rPr>
        <w:t>等形式水土流失。</w:t>
      </w:r>
    </w:p>
    <w:p w14:paraId="555F0543">
      <w:pPr>
        <w:numPr>
          <w:ilvl w:val="0"/>
          <w:numId w:val="9"/>
        </w:numPr>
        <w:ind w:firstLineChars="0"/>
        <w:rPr>
          <w:rFonts w:eastAsia="仿宋_GB2312"/>
          <w:color w:val="auto"/>
        </w:rPr>
      </w:pPr>
      <w:r>
        <w:rPr>
          <w:rFonts w:eastAsia="仿宋_GB2312"/>
          <w:color w:val="auto"/>
        </w:rPr>
        <w:t>植被</w:t>
      </w:r>
    </w:p>
    <w:p w14:paraId="2A22C9B0">
      <w:pPr>
        <w:rPr>
          <w:rFonts w:hint="eastAsia" w:eastAsia="仿宋_GB2312"/>
          <w:color w:val="auto"/>
          <w:lang w:eastAsia="zh-CN"/>
        </w:rPr>
      </w:pPr>
      <w:r>
        <w:rPr>
          <w:color w:val="auto"/>
        </w:rPr>
        <w:t>植被覆盖可以保护土壤免受雨滴的直接冲击，减小地表径流，增加地面的粗糙度，从而可以降低水流的冲蚀能力，若植物覆盖率低、灌木林多，易导致大面积的水土流失。项目区</w:t>
      </w:r>
      <w:r>
        <w:rPr>
          <w:rFonts w:hint="eastAsia"/>
          <w:color w:val="auto"/>
          <w:lang w:val="en-US" w:eastAsia="zh-CN"/>
        </w:rPr>
        <w:t>无</w:t>
      </w:r>
      <w:r>
        <w:rPr>
          <w:rFonts w:hint="eastAsia"/>
          <w:color w:val="auto"/>
          <w:lang w:eastAsia="zh-CN"/>
        </w:rPr>
        <w:t>植被</w:t>
      </w:r>
      <w:r>
        <w:rPr>
          <w:color w:val="auto"/>
        </w:rPr>
        <w:t>，是产生水土流失的重要因素</w:t>
      </w:r>
      <w:r>
        <w:rPr>
          <w:rFonts w:hint="eastAsia"/>
          <w:color w:val="auto"/>
          <w:lang w:eastAsia="zh-CN"/>
        </w:rPr>
        <w:t>。</w:t>
      </w:r>
    </w:p>
    <w:p w14:paraId="12A25997">
      <w:pPr>
        <w:pStyle w:val="5"/>
        <w:bidi w:val="0"/>
        <w:rPr>
          <w:color w:val="auto"/>
        </w:rPr>
      </w:pPr>
      <w:bookmarkStart w:id="118" w:name="_Toc310457299"/>
      <w:r>
        <w:rPr>
          <w:rFonts w:hint="eastAsia"/>
          <w:color w:val="auto"/>
          <w:lang w:val="en-US" w:eastAsia="zh-CN"/>
        </w:rPr>
        <w:t>4.2.2</w:t>
      </w:r>
      <w:r>
        <w:rPr>
          <w:color w:val="auto"/>
        </w:rPr>
        <w:t>人为因素</w:t>
      </w:r>
      <w:bookmarkEnd w:id="118"/>
    </w:p>
    <w:p w14:paraId="5F14AC32">
      <w:pPr>
        <w:ind w:firstLine="480"/>
        <w:rPr>
          <w:rFonts w:cs="Times New Roman"/>
          <w:color w:val="auto"/>
          <w:szCs w:val="24"/>
        </w:rPr>
      </w:pPr>
      <w:r>
        <w:rPr>
          <w:rFonts w:cs="Times New Roman"/>
          <w:color w:val="auto"/>
          <w:szCs w:val="24"/>
        </w:rPr>
        <w:t>因工程开挖、回填等生产活动，破坏了原地貌及其土层结构、表面植被，使原来相对稳定的表土层受到不同程度的扰动和破坏，降低抗蚀能力，在降雨及径流的作用下，加剧水土流失。</w:t>
      </w:r>
    </w:p>
    <w:p w14:paraId="3520C859">
      <w:pPr>
        <w:ind w:firstLine="480"/>
        <w:rPr>
          <w:rFonts w:cs="Times New Roman"/>
          <w:color w:val="auto"/>
          <w:szCs w:val="24"/>
        </w:rPr>
      </w:pPr>
      <w:r>
        <w:rPr>
          <w:rFonts w:cs="Times New Roman"/>
          <w:color w:val="auto"/>
          <w:szCs w:val="24"/>
        </w:rPr>
        <w:t>工程</w:t>
      </w:r>
      <w:r>
        <w:rPr>
          <w:rFonts w:hint="eastAsia" w:cs="Times New Roman"/>
          <w:color w:val="auto"/>
          <w:szCs w:val="24"/>
          <w:lang w:eastAsia="zh-CN"/>
        </w:rPr>
        <w:t>建设</w:t>
      </w:r>
      <w:r>
        <w:rPr>
          <w:rFonts w:cs="Times New Roman"/>
          <w:color w:val="auto"/>
          <w:szCs w:val="24"/>
        </w:rPr>
        <w:t>过程中，</w:t>
      </w:r>
      <w:r>
        <w:rPr>
          <w:rFonts w:hint="eastAsia" w:cs="Times New Roman"/>
          <w:color w:val="auto"/>
          <w:szCs w:val="24"/>
          <w:lang w:val="en-US" w:eastAsia="zh-CN"/>
        </w:rPr>
        <w:t>基础</w:t>
      </w:r>
      <w:r>
        <w:rPr>
          <w:rFonts w:hint="eastAsia" w:cs="Times New Roman"/>
          <w:color w:val="auto"/>
          <w:szCs w:val="24"/>
          <w:lang w:eastAsia="zh-CN"/>
        </w:rPr>
        <w:t>开挖使</w:t>
      </w:r>
      <w:r>
        <w:rPr>
          <w:rFonts w:cs="Times New Roman"/>
          <w:color w:val="auto"/>
          <w:szCs w:val="24"/>
        </w:rPr>
        <w:t>原地貌遭到破坏，地表受到机械的</w:t>
      </w:r>
      <w:r>
        <w:rPr>
          <w:rFonts w:cs="Times New Roman"/>
          <w:color w:val="auto"/>
          <w:szCs w:val="24"/>
          <w:highlight w:val="none"/>
        </w:rPr>
        <w:t>碾压</w:t>
      </w:r>
      <w:r>
        <w:rPr>
          <w:rFonts w:cs="Times New Roman"/>
          <w:color w:val="auto"/>
          <w:szCs w:val="24"/>
        </w:rPr>
        <w:t>，将使土壤下</w:t>
      </w:r>
      <w:r>
        <w:rPr>
          <w:rFonts w:cs="Times New Roman"/>
          <w:color w:val="auto"/>
          <w:szCs w:val="24"/>
          <w:highlight w:val="none"/>
        </w:rPr>
        <w:t>渗和</w:t>
      </w:r>
      <w:r>
        <w:rPr>
          <w:rFonts w:cs="Times New Roman"/>
          <w:color w:val="auto"/>
          <w:szCs w:val="24"/>
        </w:rPr>
        <w:t>涵养水分的能力降低，影响植物生长。工程施工将产生大量的土石方，如不采取有效的水土保持措施，将会加剧项目区水土流失，降低土地生产力，影响项目区及周边生态环境，导致环境的恶化。</w:t>
      </w:r>
    </w:p>
    <w:p w14:paraId="743C393A">
      <w:pPr>
        <w:bidi w:val="0"/>
        <w:rPr>
          <w:rFonts w:hint="eastAsia"/>
          <w:color w:val="auto"/>
        </w:rPr>
      </w:pPr>
      <w:r>
        <w:rPr>
          <w:rFonts w:cs="Times New Roman"/>
          <w:color w:val="auto"/>
          <w:szCs w:val="24"/>
        </w:rPr>
        <w:t>总之，本工程对水土流失的影响因素是客观存在的。本方案将从多方面、全方位进行分析后，设计合理、完善的水土保持措施予以防治，并就水土保持措施实施的保障措施提出要求，以确保水土保持方案设计能落到实处，只要认真落实各项水土保持措施，工程建设和生产对水土流失的影响因素是可以得到了控制的。</w:t>
      </w:r>
    </w:p>
    <w:p w14:paraId="2AC03B84">
      <w:pPr>
        <w:pStyle w:val="5"/>
        <w:rPr>
          <w:rFonts w:hint="eastAsia" w:eastAsia="仿宋_GB2312"/>
          <w:color w:val="auto"/>
          <w:lang w:eastAsia="zh-CN"/>
        </w:rPr>
      </w:pPr>
      <w:r>
        <w:rPr>
          <w:color w:val="auto"/>
        </w:rPr>
        <w:t>4.2.</w:t>
      </w:r>
      <w:r>
        <w:rPr>
          <w:rFonts w:hint="eastAsia"/>
          <w:color w:val="auto"/>
          <w:lang w:val="en-US" w:eastAsia="zh-CN"/>
        </w:rPr>
        <w:t>3</w:t>
      </w:r>
      <w:r>
        <w:rPr>
          <w:color w:val="auto"/>
        </w:rPr>
        <w:t xml:space="preserve"> 扰动地表面积</w:t>
      </w:r>
    </w:p>
    <w:p w14:paraId="6EDEA958">
      <w:pPr>
        <w:ind w:firstLine="480"/>
        <w:rPr>
          <w:rFonts w:hint="default" w:eastAsia="仿宋_GB2312"/>
          <w:color w:val="auto"/>
          <w:lang w:val="en-US" w:eastAsia="zh-CN"/>
        </w:rPr>
      </w:pPr>
      <w:r>
        <w:rPr>
          <w:rFonts w:hint="eastAsia" w:ascii="Times New Roman" w:hAnsi="Times New Roman" w:cs="Times New Roman"/>
          <w:color w:val="auto"/>
          <w:lang w:val="en-US" w:eastAsia="zh-CN"/>
        </w:rPr>
        <w:t>本项目占地类型为</w:t>
      </w:r>
      <w:r>
        <w:rPr>
          <w:rFonts w:hint="eastAsia" w:cs="Times New Roman"/>
          <w:color w:val="auto"/>
          <w:lang w:val="en-US" w:eastAsia="zh-CN"/>
        </w:rPr>
        <w:t>耕地</w:t>
      </w:r>
      <w:r>
        <w:rPr>
          <w:rFonts w:hint="eastAsia" w:ascii="Times New Roman" w:hAnsi="Times New Roman" w:cs="Times New Roman"/>
          <w:color w:val="auto"/>
          <w:lang w:val="en-US" w:eastAsia="zh-CN"/>
        </w:rPr>
        <w:t>，项目建设改变了原有地形地貌，不同程度的对原本具有水土保持功能的设施造成破坏，造成项目区水土流失量的增加，扰动地表面积为</w:t>
      </w:r>
      <w:r>
        <w:rPr>
          <w:rFonts w:hint="eastAsia" w:cs="Times New Roman"/>
          <w:color w:val="auto"/>
          <w:lang w:val="en-US" w:eastAsia="zh-CN"/>
        </w:rPr>
        <w:t>3.66</w:t>
      </w:r>
      <w:r>
        <w:rPr>
          <w:rFonts w:hint="eastAsia" w:ascii="Times New Roman" w:hAnsi="Times New Roman" w:cs="Times New Roman"/>
          <w:color w:val="auto"/>
          <w:lang w:val="en-US" w:eastAsia="zh-CN"/>
        </w:rPr>
        <w:t>hm</w:t>
      </w:r>
      <w:r>
        <w:rPr>
          <w:rFonts w:hint="eastAsia" w:ascii="Times New Roman" w:hAnsi="Times New Roman" w:cs="Times New Roman"/>
          <w:color w:val="auto"/>
          <w:vertAlign w:val="superscript"/>
          <w:lang w:val="en-US" w:eastAsia="zh-CN"/>
        </w:rPr>
        <w:t>2</w:t>
      </w:r>
      <w:r>
        <w:rPr>
          <w:rFonts w:hint="eastAsia" w:cs="Times New Roman"/>
          <w:color w:val="auto"/>
          <w:lang w:val="en-US" w:eastAsia="zh-CN"/>
        </w:rPr>
        <w:t>。</w:t>
      </w:r>
    </w:p>
    <w:p w14:paraId="4ECE5AEC">
      <w:pPr>
        <w:pStyle w:val="5"/>
        <w:bidi w:val="0"/>
        <w:rPr>
          <w:rFonts w:hint="default"/>
          <w:color w:val="auto"/>
          <w:lang w:val="en-US" w:eastAsia="zh-CN"/>
        </w:rPr>
      </w:pPr>
      <w:r>
        <w:rPr>
          <w:rFonts w:hint="eastAsia"/>
          <w:color w:val="auto"/>
          <w:lang w:val="en-US" w:eastAsia="zh-CN"/>
        </w:rPr>
        <w:t>4.2.4 弃土量</w:t>
      </w:r>
    </w:p>
    <w:p w14:paraId="5FC91D85">
      <w:pPr>
        <w:ind w:firstLine="480"/>
        <w:rPr>
          <w:rFonts w:eastAsia="仿宋_GB2312"/>
          <w:color w:val="auto"/>
        </w:rPr>
      </w:pPr>
      <w:bookmarkStart w:id="119" w:name="_Toc23271"/>
      <w:r>
        <w:rPr>
          <w:rFonts w:hint="eastAsia" w:eastAsia="仿宋_GB2312"/>
          <w:color w:val="auto"/>
        </w:rPr>
        <w:t>根据施工设计资料统计</w:t>
      </w:r>
      <w:r>
        <w:rPr>
          <w:rFonts w:eastAsia="仿宋_GB2312"/>
          <w:color w:val="auto"/>
        </w:rPr>
        <w:t>本项目</w:t>
      </w:r>
      <w:r>
        <w:rPr>
          <w:rFonts w:hint="eastAsia"/>
          <w:color w:val="auto"/>
          <w:lang w:val="en-US" w:eastAsia="zh-CN"/>
        </w:rPr>
        <w:t>建设开挖土石方1.32</w:t>
      </w:r>
      <w:r>
        <w:rPr>
          <w:rFonts w:eastAsia="仿宋_GB2312"/>
          <w:color w:val="auto"/>
        </w:rPr>
        <w:t>万m</w:t>
      </w:r>
      <w:r>
        <w:rPr>
          <w:rFonts w:eastAsia="仿宋_GB2312"/>
          <w:color w:val="auto"/>
          <w:vertAlign w:val="superscript"/>
        </w:rPr>
        <w:t>3</w:t>
      </w:r>
      <w:r>
        <w:rPr>
          <w:rFonts w:eastAsia="仿宋_GB2312"/>
          <w:color w:val="auto"/>
        </w:rPr>
        <w:t>，填方总量</w:t>
      </w:r>
      <w:r>
        <w:rPr>
          <w:rFonts w:hint="eastAsia"/>
          <w:color w:val="auto"/>
          <w:lang w:val="en-US" w:eastAsia="zh-CN"/>
        </w:rPr>
        <w:t>1.32</w:t>
      </w:r>
      <w:r>
        <w:rPr>
          <w:rFonts w:eastAsia="仿宋_GB2312"/>
          <w:color w:val="auto"/>
        </w:rPr>
        <w:t>万m</w:t>
      </w:r>
      <w:r>
        <w:rPr>
          <w:rFonts w:eastAsia="仿宋_GB2312"/>
          <w:color w:val="auto"/>
          <w:vertAlign w:val="superscript"/>
        </w:rPr>
        <w:t>3</w:t>
      </w:r>
      <w:r>
        <w:rPr>
          <w:rFonts w:eastAsia="仿宋_GB2312"/>
          <w:color w:val="auto"/>
        </w:rPr>
        <w:t>，</w:t>
      </w:r>
      <w:r>
        <w:rPr>
          <w:rFonts w:hint="eastAsia"/>
          <w:color w:val="auto"/>
          <w:lang w:val="en-US" w:eastAsia="zh-CN"/>
        </w:rPr>
        <w:t>无借方，无弃方</w:t>
      </w:r>
      <w:r>
        <w:rPr>
          <w:rFonts w:eastAsia="仿宋_GB2312"/>
          <w:color w:val="auto"/>
        </w:rPr>
        <w:t>。</w:t>
      </w:r>
    </w:p>
    <w:p w14:paraId="25AAD53D">
      <w:pPr>
        <w:pStyle w:val="3"/>
        <w:bidi w:val="0"/>
        <w:rPr>
          <w:rFonts w:hint="default"/>
          <w:color w:val="auto"/>
          <w:lang w:val="en-US"/>
        </w:rPr>
      </w:pPr>
      <w:bookmarkStart w:id="120" w:name="_Toc14827"/>
      <w:r>
        <w:rPr>
          <w:rFonts w:hint="eastAsia"/>
          <w:color w:val="auto"/>
        </w:rPr>
        <w:t>4.3土壤流失量</w:t>
      </w:r>
      <w:bookmarkEnd w:id="119"/>
      <w:r>
        <w:rPr>
          <w:rFonts w:hint="eastAsia"/>
          <w:color w:val="auto"/>
          <w:lang w:val="en-US" w:eastAsia="zh-CN"/>
        </w:rPr>
        <w:t>预测</w:t>
      </w:r>
      <w:bookmarkEnd w:id="120"/>
    </w:p>
    <w:p w14:paraId="1D2031C1">
      <w:pPr>
        <w:pStyle w:val="5"/>
        <w:bidi w:val="0"/>
        <w:rPr>
          <w:color w:val="auto"/>
        </w:rPr>
      </w:pPr>
      <w:r>
        <w:rPr>
          <w:rFonts w:hint="eastAsia"/>
          <w:color w:val="auto"/>
        </w:rPr>
        <w:t>4.3.1</w:t>
      </w:r>
      <w:r>
        <w:rPr>
          <w:rFonts w:hint="eastAsia"/>
          <w:color w:val="auto"/>
          <w:lang w:eastAsia="zh-CN"/>
        </w:rPr>
        <w:t>预测</w:t>
      </w:r>
      <w:r>
        <w:rPr>
          <w:rFonts w:hint="eastAsia"/>
          <w:color w:val="auto"/>
        </w:rPr>
        <w:t>单元</w:t>
      </w:r>
    </w:p>
    <w:p w14:paraId="6AF6AB86">
      <w:pPr>
        <w:ind w:firstLine="480"/>
        <w:rPr>
          <w:rFonts w:hint="eastAsia" w:eastAsia="仿宋_GB2312"/>
          <w:color w:val="auto"/>
          <w:lang w:val="en-US" w:eastAsia="zh-CN"/>
        </w:rPr>
      </w:pPr>
      <w:r>
        <w:rPr>
          <w:rFonts w:eastAsia="仿宋_GB2312"/>
          <w:color w:val="auto"/>
        </w:rPr>
        <w:t>本项目建设期水土流失预测单元为</w:t>
      </w:r>
      <w:r>
        <w:rPr>
          <w:rFonts w:hint="eastAsia"/>
          <w:color w:val="auto"/>
          <w:lang w:val="en-US" w:eastAsia="zh-CN"/>
        </w:rPr>
        <w:t>建构筑物区、道路硬化区</w:t>
      </w:r>
      <w:r>
        <w:rPr>
          <w:rFonts w:eastAsia="仿宋_GB2312"/>
          <w:color w:val="auto"/>
        </w:rPr>
        <w:t>，涉及总面积</w:t>
      </w:r>
      <w:r>
        <w:rPr>
          <w:rFonts w:hint="eastAsia"/>
          <w:color w:val="auto"/>
          <w:lang w:val="en-US" w:eastAsia="zh-CN"/>
        </w:rPr>
        <w:t>3.66</w:t>
      </w:r>
      <w:r>
        <w:rPr>
          <w:rFonts w:eastAsia="仿宋_GB2312"/>
          <w:color w:val="auto"/>
        </w:rPr>
        <w:t>hm</w:t>
      </w:r>
      <w:r>
        <w:rPr>
          <w:rFonts w:eastAsia="仿宋_GB2312"/>
          <w:color w:val="auto"/>
          <w:vertAlign w:val="superscript"/>
        </w:rPr>
        <w:t>2</w:t>
      </w:r>
      <w:r>
        <w:rPr>
          <w:rFonts w:eastAsia="仿宋_GB2312"/>
          <w:color w:val="auto"/>
        </w:rPr>
        <w:t>；</w:t>
      </w:r>
      <w:r>
        <w:rPr>
          <w:rFonts w:hint="eastAsia"/>
          <w:color w:val="auto"/>
          <w:lang w:val="en-US" w:eastAsia="zh-CN"/>
        </w:rPr>
        <w:t>本项目无施工期后全部进行硬化，无绿化面积，</w:t>
      </w:r>
      <w:r>
        <w:rPr>
          <w:rFonts w:eastAsia="仿宋_GB2312"/>
          <w:color w:val="auto"/>
        </w:rPr>
        <w:t>自然恢复期</w:t>
      </w:r>
      <w:r>
        <w:rPr>
          <w:rFonts w:hint="eastAsia"/>
          <w:color w:val="auto"/>
          <w:lang w:val="en-US" w:eastAsia="zh-CN"/>
        </w:rPr>
        <w:t>面积为0hm</w:t>
      </w:r>
      <w:r>
        <w:rPr>
          <w:rFonts w:hint="eastAsia"/>
          <w:color w:val="auto"/>
          <w:vertAlign w:val="superscript"/>
          <w:lang w:val="en-US" w:eastAsia="zh-CN"/>
        </w:rPr>
        <w:t>2</w:t>
      </w:r>
      <w:r>
        <w:rPr>
          <w:rFonts w:hint="eastAsia"/>
          <w:color w:val="auto"/>
          <w:lang w:eastAsia="zh-CN"/>
        </w:rPr>
        <w:t>。</w:t>
      </w:r>
    </w:p>
    <w:p w14:paraId="6DDECC8F">
      <w:pPr>
        <w:pStyle w:val="5"/>
        <w:rPr>
          <w:rFonts w:hint="eastAsia" w:eastAsia="仿宋_GB2312"/>
          <w:color w:val="auto"/>
          <w:lang w:val="en-US" w:eastAsia="zh-CN"/>
        </w:rPr>
      </w:pPr>
      <w:r>
        <w:rPr>
          <w:rFonts w:hint="eastAsia"/>
          <w:color w:val="auto"/>
        </w:rPr>
        <w:t>4.3.2</w:t>
      </w:r>
      <w:r>
        <w:rPr>
          <w:rFonts w:hint="eastAsia"/>
          <w:color w:val="auto"/>
          <w:lang w:eastAsia="zh-CN"/>
        </w:rPr>
        <w:t>预测</w:t>
      </w:r>
      <w:r>
        <w:rPr>
          <w:rFonts w:hint="eastAsia"/>
          <w:color w:val="auto"/>
        </w:rPr>
        <w:t>时段</w:t>
      </w:r>
      <w:r>
        <w:rPr>
          <w:rFonts w:hint="eastAsia"/>
          <w:color w:val="auto"/>
          <w:lang w:val="en-US" w:eastAsia="zh-CN"/>
        </w:rPr>
        <w:t>及范围</w:t>
      </w:r>
    </w:p>
    <w:p w14:paraId="3229F8E4">
      <w:pPr>
        <w:bidi w:val="0"/>
        <w:rPr>
          <w:rFonts w:hint="eastAsia" w:eastAsia="仿宋_GB2312"/>
          <w:color w:val="auto"/>
          <w:lang w:eastAsia="zh-CN"/>
        </w:rPr>
      </w:pPr>
      <w:r>
        <w:rPr>
          <w:rFonts w:hint="eastAsia"/>
          <w:color w:val="auto"/>
          <w:lang w:val="en-US" w:eastAsia="zh-CN"/>
        </w:rPr>
        <w:t>预测</w:t>
      </w:r>
      <w:r>
        <w:rPr>
          <w:rFonts w:hint="eastAsia"/>
          <w:color w:val="auto"/>
          <w:lang w:eastAsia="zh-CN"/>
        </w:rPr>
        <w:t>时段</w:t>
      </w:r>
      <w:r>
        <w:rPr>
          <w:rFonts w:hint="eastAsia"/>
          <w:color w:val="auto"/>
        </w:rPr>
        <w:t>应分为施工期和自然恢复期，施工期</w:t>
      </w:r>
      <w:r>
        <w:rPr>
          <w:rFonts w:hint="eastAsia"/>
          <w:color w:val="auto"/>
          <w:lang w:val="en-US" w:eastAsia="zh-CN"/>
        </w:rPr>
        <w:t>预测</w:t>
      </w:r>
      <w:r>
        <w:rPr>
          <w:rFonts w:hint="eastAsia"/>
          <w:color w:val="auto"/>
        </w:rPr>
        <w:t>时间应按连续12个月为一年计，不足12个月，但达到一个雨（风）季长度的，按一年计；不足一个雨（风）季长度的，按占雨（风）季长度的比例计算</w:t>
      </w:r>
      <w:r>
        <w:rPr>
          <w:rFonts w:hint="eastAsia"/>
          <w:color w:val="auto"/>
          <w:lang w:eastAsia="zh-CN"/>
        </w:rPr>
        <w:t>。</w:t>
      </w:r>
    </w:p>
    <w:p w14:paraId="34887DB5">
      <w:pPr>
        <w:numPr>
          <w:ilvl w:val="0"/>
          <w:numId w:val="10"/>
        </w:numPr>
        <w:bidi w:val="0"/>
        <w:rPr>
          <w:rFonts w:hint="eastAsia"/>
          <w:color w:val="auto"/>
          <w:lang w:eastAsia="zh-CN"/>
        </w:rPr>
      </w:pPr>
      <w:r>
        <w:rPr>
          <w:rFonts w:hint="eastAsia"/>
          <w:color w:val="auto"/>
          <w:lang w:eastAsia="zh-CN"/>
        </w:rPr>
        <w:t>施工期（含</w:t>
      </w:r>
      <w:r>
        <w:rPr>
          <w:rFonts w:hint="eastAsia"/>
          <w:color w:val="auto"/>
          <w:lang w:val="en-US" w:eastAsia="zh-CN"/>
        </w:rPr>
        <w:t>施工准备期</w:t>
      </w:r>
      <w:r>
        <w:rPr>
          <w:rFonts w:hint="eastAsia"/>
          <w:color w:val="auto"/>
          <w:lang w:eastAsia="zh-CN"/>
        </w:rPr>
        <w:t>）</w:t>
      </w:r>
    </w:p>
    <w:p w14:paraId="43396DA7">
      <w:pPr>
        <w:pStyle w:val="23"/>
        <w:rPr>
          <w:rFonts w:hint="eastAsia"/>
          <w:color w:val="auto"/>
          <w:lang w:eastAsia="zh-CN"/>
        </w:rPr>
      </w:pPr>
      <w:r>
        <w:rPr>
          <w:rFonts w:eastAsia="仿宋_GB2312"/>
          <w:color w:val="auto"/>
        </w:rPr>
        <w:t>在施工期间，工程开挖和填筑、临时堆土、建筑材料堆置及机械碾压等施工活动，会破坏项目区原稳定地貌和植被，扰动土体结构，改变现状地形，开挖面、松散裸露面无植被覆盖，土地抗蚀能力降低，在降雨作用下水土流失增强，因此施工期（含施工准备期）是本次预测的重点，在土建工程施工结束时，水土流失强度达到最大。各区水土流失预测时间长短的确定，是根据地面扰动时间，同时考虑工程影响的后续效果而定。</w:t>
      </w:r>
      <w:r>
        <w:rPr>
          <w:color w:val="auto"/>
        </w:rPr>
        <w:t>本项目</w:t>
      </w:r>
      <w:r>
        <w:rPr>
          <w:rFonts w:hint="eastAsia"/>
          <w:color w:val="auto"/>
          <w:lang w:val="en-US" w:eastAsia="zh-CN"/>
        </w:rPr>
        <w:t>预计</w:t>
      </w:r>
      <w:r>
        <w:rPr>
          <w:color w:val="auto"/>
        </w:rPr>
        <w:t>202</w:t>
      </w:r>
      <w:r>
        <w:rPr>
          <w:rFonts w:hint="eastAsia"/>
          <w:color w:val="auto"/>
          <w:lang w:val="en-US" w:eastAsia="zh-CN"/>
        </w:rPr>
        <w:t>5</w:t>
      </w:r>
      <w:r>
        <w:rPr>
          <w:color w:val="auto"/>
        </w:rPr>
        <w:t>年</w:t>
      </w:r>
      <w:r>
        <w:rPr>
          <w:rFonts w:hint="eastAsia"/>
          <w:color w:val="auto"/>
          <w:lang w:val="en-US" w:eastAsia="zh-CN"/>
        </w:rPr>
        <w:t>1</w:t>
      </w:r>
      <w:r>
        <w:rPr>
          <w:color w:val="auto"/>
        </w:rPr>
        <w:t>月开工，计划于202</w:t>
      </w:r>
      <w:r>
        <w:rPr>
          <w:rFonts w:hint="eastAsia"/>
          <w:color w:val="auto"/>
          <w:lang w:val="en-US" w:eastAsia="zh-CN"/>
        </w:rPr>
        <w:t>5</w:t>
      </w:r>
      <w:r>
        <w:rPr>
          <w:color w:val="auto"/>
        </w:rPr>
        <w:t>年</w:t>
      </w:r>
      <w:r>
        <w:rPr>
          <w:rFonts w:hint="eastAsia"/>
          <w:color w:val="auto"/>
          <w:lang w:val="en-US" w:eastAsia="zh-CN"/>
        </w:rPr>
        <w:t>6</w:t>
      </w:r>
      <w:r>
        <w:rPr>
          <w:color w:val="auto"/>
        </w:rPr>
        <w:t>月完工，总工期</w:t>
      </w:r>
      <w:r>
        <w:rPr>
          <w:rFonts w:hint="eastAsia"/>
          <w:color w:val="auto"/>
          <w:lang w:val="en-US" w:eastAsia="zh-CN"/>
        </w:rPr>
        <w:t>6</w:t>
      </w:r>
      <w:r>
        <w:rPr>
          <w:color w:val="auto"/>
        </w:rPr>
        <w:t>个月</w:t>
      </w:r>
      <w:r>
        <w:rPr>
          <w:rFonts w:hint="eastAsia"/>
          <w:color w:val="auto"/>
          <w:lang w:val="en-US" w:eastAsia="zh-CN"/>
        </w:rPr>
        <w:t>，预测时间取0.5年。</w:t>
      </w:r>
    </w:p>
    <w:p w14:paraId="2240E0D1">
      <w:pPr>
        <w:numPr>
          <w:ilvl w:val="0"/>
          <w:numId w:val="10"/>
        </w:numPr>
        <w:bidi w:val="0"/>
        <w:rPr>
          <w:rFonts w:hint="default"/>
          <w:color w:val="auto"/>
          <w:lang w:val="en-US" w:eastAsia="zh-CN"/>
        </w:rPr>
      </w:pPr>
      <w:r>
        <w:rPr>
          <w:rFonts w:hint="eastAsia"/>
          <w:color w:val="auto"/>
          <w:lang w:val="en-US" w:eastAsia="zh-CN"/>
        </w:rPr>
        <w:t>自然恢复期</w:t>
      </w:r>
    </w:p>
    <w:p w14:paraId="50D2AB66">
      <w:pPr>
        <w:ind w:firstLine="480"/>
        <w:rPr>
          <w:rFonts w:hint="eastAsia"/>
          <w:color w:val="auto"/>
          <w:lang w:eastAsia="zh-CN"/>
        </w:rPr>
      </w:pPr>
      <w:r>
        <w:rPr>
          <w:rFonts w:eastAsia="仿宋_GB2312"/>
          <w:color w:val="auto"/>
        </w:rPr>
        <w:t>本项目</w:t>
      </w:r>
      <w:r>
        <w:rPr>
          <w:rFonts w:hint="eastAsia"/>
          <w:color w:val="auto"/>
          <w:lang w:val="en-US" w:eastAsia="zh-CN"/>
        </w:rPr>
        <w:t>建构筑物区、道路硬化区</w:t>
      </w:r>
      <w:r>
        <w:rPr>
          <w:rFonts w:eastAsia="仿宋_GB2312"/>
          <w:color w:val="auto"/>
        </w:rPr>
        <w:t>等经过硬化、工程措施、临时措施的治理后，在竣工后可视为不再有新增水土流失的产生，</w:t>
      </w:r>
      <w:r>
        <w:rPr>
          <w:rFonts w:hint="eastAsia"/>
          <w:color w:val="auto"/>
          <w:lang w:val="en-US" w:eastAsia="zh-CN"/>
        </w:rPr>
        <w:t>本项目无绿化面积，因此不针对自然恢复期</w:t>
      </w:r>
      <w:r>
        <w:rPr>
          <w:rFonts w:eastAsia="仿宋_GB2312"/>
          <w:color w:val="auto"/>
        </w:rPr>
        <w:t>进行预测</w:t>
      </w:r>
      <w:r>
        <w:rPr>
          <w:rFonts w:hint="eastAsia"/>
          <w:color w:val="auto"/>
          <w:lang w:eastAsia="zh-CN"/>
        </w:rPr>
        <w:t>。</w:t>
      </w:r>
    </w:p>
    <w:p w14:paraId="209F79C0">
      <w:pPr>
        <w:ind w:firstLine="480"/>
        <w:rPr>
          <w:rFonts w:hint="eastAsia"/>
          <w:color w:val="auto"/>
          <w:lang w:eastAsia="zh-CN"/>
        </w:rPr>
      </w:pPr>
    </w:p>
    <w:p w14:paraId="387A77D2">
      <w:pPr>
        <w:ind w:firstLine="480"/>
        <w:rPr>
          <w:rFonts w:hint="eastAsia"/>
          <w:color w:val="auto"/>
          <w:lang w:eastAsia="zh-CN"/>
        </w:rPr>
      </w:pPr>
    </w:p>
    <w:p w14:paraId="5AE364C9">
      <w:pPr>
        <w:ind w:firstLine="480"/>
        <w:rPr>
          <w:rFonts w:hint="eastAsia"/>
          <w:color w:val="auto"/>
          <w:lang w:eastAsia="zh-CN"/>
        </w:rPr>
      </w:pPr>
    </w:p>
    <w:p w14:paraId="7C804352">
      <w:pPr>
        <w:pStyle w:val="35"/>
        <w:bidi w:val="0"/>
        <w:rPr>
          <w:color w:val="auto"/>
        </w:rPr>
      </w:pPr>
      <w:r>
        <w:rPr>
          <w:color w:val="auto"/>
        </w:rPr>
        <w:t xml:space="preserve"> </w:t>
      </w:r>
      <w:r>
        <w:rPr>
          <w:rFonts w:hint="eastAsia"/>
          <w:color w:val="auto"/>
        </w:rPr>
        <w:t>表 4.3-1 水土流失预测时段划分表</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671"/>
        <w:gridCol w:w="1714"/>
        <w:gridCol w:w="3575"/>
        <w:gridCol w:w="1324"/>
      </w:tblGrid>
      <w:tr w14:paraId="7F75B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1438" w:type="pct"/>
            <w:vMerge w:val="restart"/>
            <w:shd w:val="clear" w:color="auto" w:fill="auto"/>
            <w:vAlign w:val="top"/>
          </w:tcPr>
          <w:p w14:paraId="5BC98D2D">
            <w:pPr>
              <w:pStyle w:val="34"/>
              <w:bidi w:val="0"/>
            </w:pPr>
            <w:r>
              <w:rPr>
                <w:rFonts w:hint="eastAsia"/>
                <w:lang w:val="en-US" w:eastAsia="zh-CN"/>
              </w:rPr>
              <w:t>预测单元</w:t>
            </w:r>
          </w:p>
        </w:tc>
        <w:tc>
          <w:tcPr>
            <w:tcW w:w="3561" w:type="pct"/>
            <w:gridSpan w:val="3"/>
            <w:shd w:val="clear" w:color="auto" w:fill="auto"/>
            <w:vAlign w:val="top"/>
          </w:tcPr>
          <w:p w14:paraId="24BD9859">
            <w:pPr>
              <w:pStyle w:val="34"/>
              <w:bidi w:val="0"/>
              <w:rPr>
                <w:rFonts w:hint="eastAsia"/>
              </w:rPr>
            </w:pPr>
            <w:r>
              <w:rPr>
                <w:rFonts w:hint="eastAsia"/>
                <w:lang w:val="en-US" w:eastAsia="zh-CN"/>
              </w:rPr>
              <w:t>预测面积和时间</w:t>
            </w:r>
          </w:p>
        </w:tc>
      </w:tr>
      <w:tr w14:paraId="2FB600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438" w:type="pct"/>
            <w:vMerge w:val="continue"/>
            <w:shd w:val="clear" w:color="auto" w:fill="auto"/>
            <w:vAlign w:val="top"/>
          </w:tcPr>
          <w:p w14:paraId="12DC39F5">
            <w:pPr>
              <w:pStyle w:val="34"/>
              <w:bidi w:val="0"/>
              <w:rPr>
                <w:rFonts w:hint="eastAsia"/>
              </w:rPr>
            </w:pPr>
          </w:p>
        </w:tc>
        <w:tc>
          <w:tcPr>
            <w:tcW w:w="3561" w:type="pct"/>
            <w:gridSpan w:val="3"/>
            <w:shd w:val="clear" w:color="auto" w:fill="auto"/>
            <w:vAlign w:val="top"/>
          </w:tcPr>
          <w:p w14:paraId="520CBDD7">
            <w:pPr>
              <w:pStyle w:val="34"/>
              <w:bidi w:val="0"/>
              <w:rPr>
                <w:rFonts w:hint="eastAsia"/>
              </w:rPr>
            </w:pPr>
            <w:r>
              <w:rPr>
                <w:rFonts w:hint="eastAsia"/>
                <w:lang w:val="en-US" w:eastAsia="zh-CN"/>
              </w:rPr>
              <w:t>施工期</w:t>
            </w:r>
          </w:p>
        </w:tc>
      </w:tr>
      <w:tr w14:paraId="023C1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438" w:type="pct"/>
            <w:vMerge w:val="continue"/>
            <w:shd w:val="clear" w:color="auto" w:fill="auto"/>
            <w:vAlign w:val="top"/>
          </w:tcPr>
          <w:p w14:paraId="7ABCF016">
            <w:pPr>
              <w:pStyle w:val="34"/>
              <w:bidi w:val="0"/>
              <w:rPr>
                <w:rFonts w:hint="eastAsia"/>
              </w:rPr>
            </w:pPr>
          </w:p>
        </w:tc>
        <w:tc>
          <w:tcPr>
            <w:tcW w:w="923" w:type="pct"/>
            <w:shd w:val="clear" w:color="auto" w:fill="auto"/>
            <w:vAlign w:val="top"/>
          </w:tcPr>
          <w:p w14:paraId="44939BC9">
            <w:pPr>
              <w:pStyle w:val="34"/>
              <w:bidi w:val="0"/>
              <w:rPr>
                <w:rFonts w:hint="eastAsia"/>
              </w:rPr>
            </w:pPr>
            <w:r>
              <w:rPr>
                <w:rFonts w:hint="eastAsia"/>
                <w:lang w:val="en-US" w:eastAsia="zh-CN"/>
              </w:rPr>
              <w:t>面积（</w:t>
            </w:r>
            <w:r>
              <w:rPr>
                <w:rFonts w:hint="default"/>
                <w:lang w:val="en-US" w:eastAsia="zh-CN"/>
              </w:rPr>
              <w:t>hm</w:t>
            </w:r>
            <w:r>
              <w:rPr>
                <w:rFonts w:hint="default"/>
                <w:vertAlign w:val="superscript"/>
                <w:lang w:val="en-US" w:eastAsia="zh-CN"/>
              </w:rPr>
              <w:t>2</w:t>
            </w:r>
            <w:r>
              <w:rPr>
                <w:rFonts w:hint="eastAsia"/>
                <w:lang w:val="en-US" w:eastAsia="zh-CN"/>
              </w:rPr>
              <w:t>）</w:t>
            </w:r>
          </w:p>
        </w:tc>
        <w:tc>
          <w:tcPr>
            <w:tcW w:w="1925" w:type="pct"/>
            <w:shd w:val="clear" w:color="auto" w:fill="auto"/>
            <w:vAlign w:val="top"/>
          </w:tcPr>
          <w:p w14:paraId="0E80EF42">
            <w:pPr>
              <w:pStyle w:val="34"/>
              <w:bidi w:val="0"/>
              <w:rPr>
                <w:rFonts w:hint="eastAsia"/>
              </w:rPr>
            </w:pPr>
            <w:r>
              <w:rPr>
                <w:rFonts w:hint="eastAsia"/>
                <w:lang w:val="en-US" w:eastAsia="zh-CN"/>
              </w:rPr>
              <w:t>时段</w:t>
            </w:r>
          </w:p>
        </w:tc>
        <w:tc>
          <w:tcPr>
            <w:tcW w:w="712" w:type="pct"/>
            <w:shd w:val="clear" w:color="auto" w:fill="auto"/>
            <w:vAlign w:val="top"/>
          </w:tcPr>
          <w:p w14:paraId="4FA6368B">
            <w:pPr>
              <w:pStyle w:val="34"/>
              <w:bidi w:val="0"/>
              <w:rPr>
                <w:rFonts w:hint="eastAsia"/>
              </w:rPr>
            </w:pPr>
            <w:r>
              <w:rPr>
                <w:rFonts w:hint="eastAsia"/>
                <w:lang w:val="en-US" w:eastAsia="zh-CN"/>
              </w:rPr>
              <w:t>时间（</w:t>
            </w:r>
            <w:r>
              <w:rPr>
                <w:rFonts w:hint="default"/>
                <w:lang w:val="en-US" w:eastAsia="zh-CN"/>
              </w:rPr>
              <w:t>a</w:t>
            </w:r>
            <w:r>
              <w:rPr>
                <w:rFonts w:hint="eastAsia"/>
                <w:lang w:val="en-US" w:eastAsia="zh-CN"/>
              </w:rPr>
              <w:t>）</w:t>
            </w:r>
          </w:p>
        </w:tc>
      </w:tr>
      <w:tr w14:paraId="1D62E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1438" w:type="pct"/>
            <w:shd w:val="clear" w:color="auto" w:fill="auto"/>
            <w:vAlign w:val="top"/>
          </w:tcPr>
          <w:p w14:paraId="51A37BD3">
            <w:pPr>
              <w:pStyle w:val="34"/>
              <w:bidi w:val="0"/>
              <w:rPr>
                <w:rFonts w:hint="eastAsia"/>
              </w:rPr>
            </w:pPr>
            <w:r>
              <w:rPr>
                <w:rFonts w:hint="eastAsia"/>
                <w:lang w:val="en-US" w:eastAsia="zh-CN"/>
              </w:rPr>
              <w:t>建构筑物区</w:t>
            </w:r>
          </w:p>
        </w:tc>
        <w:tc>
          <w:tcPr>
            <w:tcW w:w="923" w:type="pct"/>
            <w:shd w:val="clear" w:color="auto" w:fill="auto"/>
            <w:vAlign w:val="top"/>
          </w:tcPr>
          <w:p w14:paraId="01A21F4E">
            <w:pPr>
              <w:pStyle w:val="34"/>
              <w:bidi w:val="0"/>
              <w:rPr>
                <w:rFonts w:hint="default"/>
                <w:lang w:val="en-US"/>
              </w:rPr>
            </w:pPr>
            <w:r>
              <w:rPr>
                <w:rFonts w:hint="eastAsia"/>
                <w:lang w:val="en-US" w:eastAsia="zh-CN"/>
              </w:rPr>
              <w:t>1.55</w:t>
            </w:r>
          </w:p>
        </w:tc>
        <w:tc>
          <w:tcPr>
            <w:tcW w:w="1925" w:type="pct"/>
            <w:shd w:val="clear" w:color="auto" w:fill="auto"/>
            <w:vAlign w:val="top"/>
          </w:tcPr>
          <w:p w14:paraId="144DC1BC">
            <w:pPr>
              <w:pStyle w:val="34"/>
              <w:bidi w:val="0"/>
              <w:rPr>
                <w:rFonts w:hint="default"/>
              </w:rPr>
            </w:pPr>
            <w:r>
              <w:rPr>
                <w:rFonts w:hint="default"/>
                <w:lang w:val="en-US" w:eastAsia="zh-CN"/>
              </w:rPr>
              <w:t>2024.</w:t>
            </w:r>
            <w:r>
              <w:rPr>
                <w:rFonts w:hint="eastAsia"/>
                <w:lang w:val="en-US" w:eastAsia="zh-CN"/>
              </w:rPr>
              <w:t>10</w:t>
            </w:r>
            <w:r>
              <w:rPr>
                <w:rFonts w:hint="default"/>
                <w:lang w:val="en-US" w:eastAsia="zh-CN"/>
              </w:rPr>
              <w:t>-2025.</w:t>
            </w:r>
            <w:r>
              <w:rPr>
                <w:rFonts w:hint="eastAsia"/>
                <w:lang w:val="en-US" w:eastAsia="zh-CN"/>
              </w:rPr>
              <w:t>3</w:t>
            </w:r>
          </w:p>
        </w:tc>
        <w:tc>
          <w:tcPr>
            <w:tcW w:w="712" w:type="pct"/>
            <w:shd w:val="clear" w:color="auto" w:fill="auto"/>
            <w:vAlign w:val="top"/>
          </w:tcPr>
          <w:p w14:paraId="56B95A91">
            <w:pPr>
              <w:pStyle w:val="34"/>
              <w:bidi w:val="0"/>
              <w:rPr>
                <w:rFonts w:hint="default"/>
                <w:lang w:val="en-US"/>
              </w:rPr>
            </w:pPr>
            <w:r>
              <w:rPr>
                <w:rFonts w:hint="eastAsia"/>
                <w:lang w:val="en-US" w:eastAsia="zh-CN"/>
              </w:rPr>
              <w:t>0.5</w:t>
            </w:r>
          </w:p>
        </w:tc>
      </w:tr>
      <w:tr w14:paraId="2FD037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1438" w:type="pct"/>
            <w:shd w:val="clear" w:color="auto" w:fill="auto"/>
            <w:vAlign w:val="top"/>
          </w:tcPr>
          <w:p w14:paraId="283DA037">
            <w:pPr>
              <w:pStyle w:val="34"/>
              <w:bidi w:val="0"/>
              <w:rPr>
                <w:rFonts w:hint="eastAsia"/>
              </w:rPr>
            </w:pPr>
            <w:r>
              <w:rPr>
                <w:rFonts w:hint="eastAsia"/>
                <w:lang w:val="en-US" w:eastAsia="zh-CN"/>
              </w:rPr>
              <w:t>道路硬化区</w:t>
            </w:r>
          </w:p>
        </w:tc>
        <w:tc>
          <w:tcPr>
            <w:tcW w:w="923" w:type="pct"/>
            <w:shd w:val="clear" w:color="auto" w:fill="auto"/>
            <w:vAlign w:val="top"/>
          </w:tcPr>
          <w:p w14:paraId="327974F2">
            <w:pPr>
              <w:pStyle w:val="34"/>
              <w:bidi w:val="0"/>
              <w:rPr>
                <w:rFonts w:hint="default"/>
                <w:lang w:val="en-US"/>
              </w:rPr>
            </w:pPr>
            <w:r>
              <w:rPr>
                <w:rFonts w:hint="eastAsia"/>
                <w:lang w:val="en-US" w:eastAsia="zh-CN"/>
              </w:rPr>
              <w:t>2.11</w:t>
            </w:r>
          </w:p>
        </w:tc>
        <w:tc>
          <w:tcPr>
            <w:tcW w:w="1925" w:type="pct"/>
            <w:shd w:val="clear" w:color="auto" w:fill="auto"/>
            <w:vAlign w:val="top"/>
          </w:tcPr>
          <w:p w14:paraId="2076808B">
            <w:pPr>
              <w:pStyle w:val="34"/>
              <w:bidi w:val="0"/>
              <w:rPr>
                <w:rFonts w:hint="default"/>
              </w:rPr>
            </w:pPr>
            <w:r>
              <w:rPr>
                <w:rFonts w:hint="default"/>
                <w:lang w:val="en-US" w:eastAsia="zh-CN"/>
              </w:rPr>
              <w:t>2024.</w:t>
            </w:r>
            <w:r>
              <w:rPr>
                <w:rFonts w:hint="eastAsia"/>
                <w:lang w:val="en-US" w:eastAsia="zh-CN"/>
              </w:rPr>
              <w:t>10</w:t>
            </w:r>
            <w:r>
              <w:rPr>
                <w:rFonts w:hint="default"/>
                <w:lang w:val="en-US" w:eastAsia="zh-CN"/>
              </w:rPr>
              <w:t>-2025.</w:t>
            </w:r>
            <w:r>
              <w:rPr>
                <w:rFonts w:hint="eastAsia"/>
                <w:lang w:val="en-US" w:eastAsia="zh-CN"/>
              </w:rPr>
              <w:t>3</w:t>
            </w:r>
          </w:p>
        </w:tc>
        <w:tc>
          <w:tcPr>
            <w:tcW w:w="712" w:type="pct"/>
            <w:shd w:val="clear" w:color="auto" w:fill="auto"/>
            <w:vAlign w:val="top"/>
          </w:tcPr>
          <w:p w14:paraId="177BA69C">
            <w:pPr>
              <w:pStyle w:val="34"/>
              <w:bidi w:val="0"/>
              <w:rPr>
                <w:rFonts w:hint="default"/>
                <w:lang w:val="en-US"/>
              </w:rPr>
            </w:pPr>
            <w:r>
              <w:rPr>
                <w:rFonts w:hint="eastAsia"/>
                <w:lang w:val="en-US" w:eastAsia="zh-CN"/>
              </w:rPr>
              <w:t>0.5</w:t>
            </w:r>
          </w:p>
        </w:tc>
      </w:tr>
    </w:tbl>
    <w:p w14:paraId="10AE1EB2">
      <w:pPr>
        <w:pStyle w:val="5"/>
        <w:rPr>
          <w:rFonts w:hint="eastAsia" w:eastAsia="仿宋_GB2312"/>
          <w:color w:val="auto"/>
          <w:lang w:val="en-US" w:eastAsia="zh-CN"/>
        </w:rPr>
      </w:pPr>
      <w:r>
        <w:rPr>
          <w:rFonts w:hint="eastAsia"/>
          <w:color w:val="auto"/>
        </w:rPr>
        <w:t>4.</w:t>
      </w:r>
      <w:r>
        <w:rPr>
          <w:rFonts w:hint="eastAsia"/>
          <w:color w:val="auto"/>
          <w:lang w:val="en-US" w:eastAsia="zh-CN"/>
        </w:rPr>
        <w:t>3</w:t>
      </w:r>
      <w:r>
        <w:rPr>
          <w:rFonts w:hint="eastAsia"/>
          <w:color w:val="auto"/>
        </w:rPr>
        <w:t>.</w:t>
      </w:r>
      <w:r>
        <w:rPr>
          <w:rFonts w:hint="eastAsia"/>
          <w:color w:val="auto"/>
          <w:lang w:val="en-US" w:eastAsia="zh-CN"/>
        </w:rPr>
        <w:t>3</w:t>
      </w:r>
      <w:r>
        <w:rPr>
          <w:rFonts w:hint="eastAsia"/>
          <w:color w:val="auto"/>
        </w:rPr>
        <w:t>土壤</w:t>
      </w:r>
      <w:r>
        <w:rPr>
          <w:rFonts w:hint="eastAsia"/>
          <w:color w:val="auto"/>
          <w:lang w:val="en-US" w:eastAsia="zh-CN"/>
        </w:rPr>
        <w:t>侵蚀模数</w:t>
      </w:r>
    </w:p>
    <w:p w14:paraId="2163D176">
      <w:pPr>
        <w:pStyle w:val="6"/>
        <w:rPr>
          <w:color w:val="auto"/>
        </w:rPr>
      </w:pPr>
      <w:r>
        <w:rPr>
          <w:rFonts w:hint="eastAsia"/>
          <w:color w:val="auto"/>
        </w:rPr>
        <w:t>4.</w:t>
      </w:r>
      <w:r>
        <w:rPr>
          <w:rFonts w:hint="eastAsia"/>
          <w:color w:val="auto"/>
          <w:lang w:val="en-US" w:eastAsia="zh-CN"/>
        </w:rPr>
        <w:t>3</w:t>
      </w:r>
      <w:r>
        <w:rPr>
          <w:rFonts w:hint="eastAsia"/>
          <w:color w:val="auto"/>
        </w:rPr>
        <w:t>.</w:t>
      </w:r>
      <w:r>
        <w:rPr>
          <w:rFonts w:hint="eastAsia"/>
          <w:color w:val="auto"/>
          <w:lang w:val="en-US" w:eastAsia="zh-CN"/>
        </w:rPr>
        <w:t>3</w:t>
      </w:r>
      <w:r>
        <w:rPr>
          <w:rFonts w:hint="eastAsia"/>
          <w:color w:val="auto"/>
        </w:rPr>
        <w:t>.1扰动前土壤侵蚀模数</w:t>
      </w:r>
    </w:p>
    <w:p w14:paraId="7F16344F">
      <w:pPr>
        <w:ind w:firstLine="480"/>
        <w:rPr>
          <w:color w:val="auto"/>
        </w:rPr>
      </w:pPr>
      <w:r>
        <w:rPr>
          <w:rFonts w:hint="eastAsia"/>
          <w:color w:val="auto"/>
        </w:rPr>
        <w:t>扰动后各分区的土壤侵蚀模数取值根据施工过程中水土流失规律，结合本项目施工 建设扰动地表的方式和特点，并参考扰动方式类似的项目，确定本项目施工扰动后的土 壤侵蚀模数。综上所述，可知工程区原地貌平均土壤侵蚀模数背景值为</w:t>
      </w:r>
      <w:r>
        <w:rPr>
          <w:rFonts w:hint="eastAsia"/>
          <w:color w:val="auto"/>
          <w:lang w:val="en-US" w:eastAsia="zh-CN"/>
        </w:rPr>
        <w:t>300</w:t>
      </w:r>
      <w:r>
        <w:rPr>
          <w:rFonts w:hint="eastAsia"/>
          <w:color w:val="auto"/>
        </w:rPr>
        <w:t>/km</w:t>
      </w:r>
      <w:r>
        <w:rPr>
          <w:rFonts w:hint="eastAsia"/>
          <w:color w:val="auto"/>
          <w:vertAlign w:val="superscript"/>
        </w:rPr>
        <w:t>2</w:t>
      </w:r>
      <w:r>
        <w:rPr>
          <w:rFonts w:hint="eastAsia"/>
          <w:color w:val="auto"/>
        </w:rPr>
        <w:t>·a，工程区的土壤侵蚀强度为</w:t>
      </w:r>
      <w:r>
        <w:rPr>
          <w:rFonts w:hint="eastAsia"/>
          <w:color w:val="auto"/>
          <w:lang w:eastAsia="zh-CN"/>
        </w:rPr>
        <w:t>微度</w:t>
      </w:r>
      <w:r>
        <w:rPr>
          <w:rFonts w:hint="eastAsia"/>
          <w:color w:val="auto"/>
        </w:rPr>
        <w:t>。</w:t>
      </w:r>
    </w:p>
    <w:p w14:paraId="767A846A">
      <w:pPr>
        <w:pStyle w:val="6"/>
        <w:rPr>
          <w:rFonts w:hint="eastAsia" w:ascii="Times New Roman" w:hAnsi="Times New Roman" w:eastAsia="仿宋_GB2312"/>
          <w:color w:val="auto"/>
          <w:sz w:val="24"/>
          <w:szCs w:val="24"/>
          <w:lang w:eastAsia="zh-CN"/>
        </w:rPr>
      </w:pPr>
      <w:r>
        <w:rPr>
          <w:rFonts w:hint="eastAsia"/>
          <w:color w:val="auto"/>
        </w:rPr>
        <w:t>4.</w:t>
      </w:r>
      <w:r>
        <w:rPr>
          <w:rFonts w:hint="eastAsia"/>
          <w:color w:val="auto"/>
          <w:lang w:val="en-US" w:eastAsia="zh-CN"/>
        </w:rPr>
        <w:t>3</w:t>
      </w:r>
      <w:r>
        <w:rPr>
          <w:rFonts w:hint="eastAsia"/>
          <w:color w:val="auto"/>
        </w:rPr>
        <w:t>.</w:t>
      </w:r>
      <w:r>
        <w:rPr>
          <w:rFonts w:hint="eastAsia"/>
          <w:color w:val="auto"/>
          <w:lang w:val="en-US" w:eastAsia="zh-CN"/>
        </w:rPr>
        <w:t>3</w:t>
      </w:r>
      <w:r>
        <w:rPr>
          <w:rFonts w:hint="eastAsia"/>
          <w:color w:val="auto"/>
        </w:rPr>
        <w:t>.2扰动后土壤</w:t>
      </w:r>
      <w:r>
        <w:rPr>
          <w:rFonts w:hint="eastAsia"/>
          <w:color w:val="auto"/>
          <w:lang w:eastAsia="zh-CN"/>
        </w:rPr>
        <w:t>流失量计算</w:t>
      </w:r>
    </w:p>
    <w:p w14:paraId="4F0AFA95">
      <w:pPr>
        <w:bidi w:val="0"/>
      </w:pPr>
      <w:r>
        <w:t>1）本项目各预测单元原地貌土壤侵蚀模数以植被破坏型一般扰动地表计算单元土 壤流失量公式为基础，按照时间尺度进行推求。</w:t>
      </w:r>
    </w:p>
    <w:p w14:paraId="2EDBE49D">
      <w:pPr>
        <w:bidi w:val="0"/>
        <w:rPr>
          <w:rFonts w:hint="eastAsia"/>
          <w:lang w:val="en-US" w:eastAsia="zh-CN"/>
        </w:rPr>
      </w:pPr>
      <w:r>
        <w:t>2）根据各预测单元土壤流失类型划分，上方有来水工程开挖面扰动后土壤侵蚀模 数推求涉及的预测单元包括施工期建构筑物区、道路硬化区。各预测单元扰动后土壤侵蚀模数以上方有来水工程开挖面土壤流失量公式为基础，按照时间尺度进 行推求。</w:t>
      </w:r>
    </w:p>
    <w:p w14:paraId="25EBFCC2">
      <w:pPr>
        <w:bidi w:val="0"/>
      </w:pPr>
      <w:r>
        <w:t>3）根据各预测单元土壤流失类型划分，地表翻扰型一般扰动地表扰动后土壤侵蚀 模数推求涉及的预测单元包括自然恢复期绿化区域。各预测单元扰动后土壤侵蚀模数以 地表翻扰型一般扰动地表计算单元土壤流失量公式为基础，按照时间尺度进行推求。</w:t>
      </w:r>
    </w:p>
    <w:p w14:paraId="0FEEB92F">
      <w:pPr>
        <w:bidi w:val="0"/>
      </w:pPr>
      <w:r>
        <w:t>土壤侵蚀模数通过测算导则推荐的公式进行估算，根据上述方法，本项目各预测单 元不同时段土壤侵蚀模数值见表4.3-6。</w:t>
      </w:r>
    </w:p>
    <w:p w14:paraId="52B2EA54">
      <w:pPr>
        <w:pStyle w:val="35"/>
        <w:bidi w:val="0"/>
        <w:rPr>
          <w:rFonts w:ascii="仿宋" w:hAnsi="仿宋" w:eastAsia="仿宋" w:cs="仿宋"/>
          <w:sz w:val="21"/>
          <w:szCs w:val="21"/>
        </w:rPr>
      </w:pPr>
      <w:r>
        <w:rPr>
          <w:rFonts w:ascii="仿宋" w:hAnsi="仿宋" w:eastAsia="仿宋" w:cs="仿宋"/>
          <w:b/>
          <w:bCs/>
          <w:spacing w:val="-2"/>
          <w:sz w:val="21"/>
          <w:szCs w:val="21"/>
        </w:rPr>
        <w:t>表</w:t>
      </w:r>
      <w:r>
        <w:rPr>
          <w:rFonts w:ascii="仿宋" w:hAnsi="仿宋" w:eastAsia="仿宋" w:cs="仿宋"/>
          <w:spacing w:val="-37"/>
          <w:sz w:val="21"/>
          <w:szCs w:val="21"/>
        </w:rPr>
        <w:t xml:space="preserve"> </w:t>
      </w:r>
      <w:r>
        <w:rPr>
          <w:b/>
          <w:bCs/>
          <w:spacing w:val="-2"/>
          <w:sz w:val="21"/>
          <w:szCs w:val="21"/>
        </w:rPr>
        <w:t>4.3-</w:t>
      </w:r>
      <w:r>
        <w:rPr>
          <w:rFonts w:hint="eastAsia"/>
          <w:b/>
          <w:bCs/>
          <w:spacing w:val="-2"/>
          <w:sz w:val="21"/>
          <w:szCs w:val="21"/>
          <w:lang w:val="en-US" w:eastAsia="zh-CN"/>
        </w:rPr>
        <w:t>2</w:t>
      </w:r>
      <w:r>
        <w:rPr>
          <w:b/>
          <w:bCs/>
          <w:spacing w:val="-2"/>
          <w:sz w:val="21"/>
          <w:szCs w:val="21"/>
        </w:rPr>
        <w:t xml:space="preserve">    </w:t>
      </w:r>
      <w:r>
        <w:rPr>
          <w:rFonts w:ascii="仿宋" w:hAnsi="仿宋" w:eastAsia="仿宋" w:cs="仿宋"/>
          <w:b/>
          <w:bCs/>
          <w:spacing w:val="-2"/>
          <w:sz w:val="21"/>
          <w:szCs w:val="21"/>
        </w:rPr>
        <w:t>本工程扰动后土壤侵蚀模数预测表</w:t>
      </w:r>
    </w:p>
    <w:tbl>
      <w:tblPr>
        <w:tblStyle w:val="97"/>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449"/>
        <w:gridCol w:w="2162"/>
        <w:gridCol w:w="4690"/>
      </w:tblGrid>
      <w:tr w14:paraId="799AD1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5" w:hRule="atLeast"/>
        </w:trPr>
        <w:tc>
          <w:tcPr>
            <w:tcW w:w="2449" w:type="dxa"/>
            <w:vMerge w:val="restart"/>
            <w:vAlign w:val="top"/>
          </w:tcPr>
          <w:p w14:paraId="41A98086">
            <w:pPr>
              <w:pStyle w:val="34"/>
              <w:bidi w:val="0"/>
            </w:pPr>
            <w:r>
              <w:t>预测单元</w:t>
            </w:r>
          </w:p>
        </w:tc>
        <w:tc>
          <w:tcPr>
            <w:tcW w:w="2162" w:type="dxa"/>
            <w:vMerge w:val="restart"/>
            <w:vAlign w:val="top"/>
          </w:tcPr>
          <w:p w14:paraId="6F5A25F4">
            <w:pPr>
              <w:pStyle w:val="34"/>
              <w:bidi w:val="0"/>
            </w:pPr>
            <w:r>
              <w:t>原地貌土壤平均侵蚀模 数（t/km2·a）</w:t>
            </w:r>
          </w:p>
        </w:tc>
        <w:tc>
          <w:tcPr>
            <w:tcW w:w="4690" w:type="dxa"/>
            <w:vAlign w:val="top"/>
          </w:tcPr>
          <w:p w14:paraId="55731744">
            <w:pPr>
              <w:pStyle w:val="34"/>
              <w:bidi w:val="0"/>
            </w:pPr>
            <w:r>
              <w:t>扰动后土壤侵蚀模数（t/km</w:t>
            </w:r>
            <w:r>
              <w:rPr>
                <w:vertAlign w:val="superscript"/>
              </w:rPr>
              <w:t>2</w:t>
            </w:r>
            <w:r>
              <w:t>·a）</w:t>
            </w:r>
          </w:p>
        </w:tc>
      </w:tr>
      <w:tr w14:paraId="5335C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9" w:hRule="atLeast"/>
        </w:trPr>
        <w:tc>
          <w:tcPr>
            <w:tcW w:w="2449" w:type="dxa"/>
            <w:vMerge w:val="continue"/>
            <w:vAlign w:val="top"/>
          </w:tcPr>
          <w:p w14:paraId="3FCA1CDF">
            <w:pPr>
              <w:pStyle w:val="34"/>
              <w:bidi w:val="0"/>
            </w:pPr>
          </w:p>
        </w:tc>
        <w:tc>
          <w:tcPr>
            <w:tcW w:w="2162" w:type="dxa"/>
            <w:vMerge w:val="continue"/>
            <w:vAlign w:val="top"/>
          </w:tcPr>
          <w:p w14:paraId="53911063">
            <w:pPr>
              <w:pStyle w:val="34"/>
              <w:bidi w:val="0"/>
            </w:pPr>
          </w:p>
        </w:tc>
        <w:tc>
          <w:tcPr>
            <w:tcW w:w="4690" w:type="dxa"/>
            <w:vAlign w:val="top"/>
          </w:tcPr>
          <w:p w14:paraId="3103E288">
            <w:pPr>
              <w:pStyle w:val="34"/>
              <w:bidi w:val="0"/>
            </w:pPr>
            <w:r>
              <w:t>施工期（含施工准备期）</w:t>
            </w:r>
          </w:p>
        </w:tc>
      </w:tr>
      <w:tr w14:paraId="4E66B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9" w:hRule="atLeast"/>
        </w:trPr>
        <w:tc>
          <w:tcPr>
            <w:tcW w:w="2449" w:type="dxa"/>
            <w:vAlign w:val="top"/>
          </w:tcPr>
          <w:p w14:paraId="160333B0">
            <w:pPr>
              <w:pStyle w:val="34"/>
              <w:bidi w:val="0"/>
              <w:ind w:firstLine="0" w:firstLineChars="0"/>
            </w:pPr>
            <w:r>
              <w:rPr>
                <w:rFonts w:hint="eastAsia"/>
                <w:lang w:val="en-US" w:eastAsia="zh-CN"/>
              </w:rPr>
              <w:t>建构筑物区</w:t>
            </w:r>
          </w:p>
        </w:tc>
        <w:tc>
          <w:tcPr>
            <w:tcW w:w="2162" w:type="dxa"/>
            <w:vAlign w:val="top"/>
          </w:tcPr>
          <w:p w14:paraId="38EECFF4">
            <w:pPr>
              <w:pStyle w:val="34"/>
              <w:bidi w:val="0"/>
            </w:pPr>
            <w:r>
              <w:t>300</w:t>
            </w:r>
          </w:p>
        </w:tc>
        <w:tc>
          <w:tcPr>
            <w:tcW w:w="4690" w:type="dxa"/>
            <w:vAlign w:val="top"/>
          </w:tcPr>
          <w:p w14:paraId="00A1645C">
            <w:pPr>
              <w:pStyle w:val="34"/>
              <w:bidi w:val="0"/>
              <w:rPr>
                <w:rFonts w:hint="default" w:eastAsia="仿宋_GB2312"/>
                <w:lang w:val="en-US" w:eastAsia="zh-CN"/>
              </w:rPr>
            </w:pPr>
            <w:r>
              <w:rPr>
                <w:rFonts w:hint="eastAsia"/>
                <w:lang w:val="en-US" w:eastAsia="zh-CN"/>
              </w:rPr>
              <w:t>3100</w:t>
            </w:r>
          </w:p>
        </w:tc>
      </w:tr>
      <w:tr w14:paraId="1A4654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3" w:hRule="atLeast"/>
        </w:trPr>
        <w:tc>
          <w:tcPr>
            <w:tcW w:w="2449" w:type="dxa"/>
            <w:vAlign w:val="top"/>
          </w:tcPr>
          <w:p w14:paraId="618C260F">
            <w:pPr>
              <w:pStyle w:val="34"/>
              <w:bidi w:val="0"/>
              <w:ind w:firstLine="0" w:firstLineChars="0"/>
            </w:pPr>
            <w:r>
              <w:rPr>
                <w:rFonts w:hint="eastAsia"/>
                <w:lang w:val="en-US" w:eastAsia="zh-CN"/>
              </w:rPr>
              <w:t>道路硬化区</w:t>
            </w:r>
          </w:p>
        </w:tc>
        <w:tc>
          <w:tcPr>
            <w:tcW w:w="2162" w:type="dxa"/>
            <w:vAlign w:val="top"/>
          </w:tcPr>
          <w:p w14:paraId="69EE829A">
            <w:pPr>
              <w:pStyle w:val="34"/>
              <w:bidi w:val="0"/>
            </w:pPr>
            <w:r>
              <w:t>300</w:t>
            </w:r>
          </w:p>
        </w:tc>
        <w:tc>
          <w:tcPr>
            <w:tcW w:w="4690" w:type="dxa"/>
            <w:vAlign w:val="top"/>
          </w:tcPr>
          <w:p w14:paraId="4B7F0E32">
            <w:pPr>
              <w:pStyle w:val="34"/>
              <w:bidi w:val="0"/>
            </w:pPr>
            <w:r>
              <w:t>2900</w:t>
            </w:r>
          </w:p>
        </w:tc>
      </w:tr>
    </w:tbl>
    <w:p w14:paraId="7340327E">
      <w:pPr>
        <w:pStyle w:val="5"/>
        <w:bidi w:val="0"/>
        <w:rPr>
          <w:rFonts w:hint="eastAsia"/>
          <w:lang w:val="en-US" w:eastAsia="zh-CN"/>
        </w:rPr>
      </w:pPr>
      <w:r>
        <w:t>4.</w:t>
      </w:r>
      <w:r>
        <w:rPr>
          <w:rFonts w:hint="eastAsia"/>
          <w:lang w:val="en-US" w:eastAsia="zh-CN"/>
        </w:rPr>
        <w:t>3</w:t>
      </w:r>
      <w:r>
        <w:t xml:space="preserve">.4 </w:t>
      </w:r>
      <w:r>
        <w:rPr>
          <w:rFonts w:hint="eastAsia"/>
          <w:lang w:val="en-US" w:eastAsia="zh-CN"/>
        </w:rPr>
        <w:t>预测结果</w:t>
      </w:r>
    </w:p>
    <w:p w14:paraId="06B9B04A">
      <w:pPr>
        <w:pStyle w:val="6"/>
        <w:bidi w:val="0"/>
      </w:pPr>
      <w:r>
        <w:rPr>
          <w:rFonts w:hint="eastAsia"/>
          <w:lang w:val="en-US" w:eastAsia="zh-CN"/>
        </w:rPr>
        <w:t>4.3.4.1预测</w:t>
      </w:r>
      <w:r>
        <w:t>方法</w:t>
      </w:r>
    </w:p>
    <w:p w14:paraId="42653169">
      <w:pPr>
        <w:ind w:firstLine="480"/>
        <w:rPr>
          <w:rFonts w:cs="Times New Roman"/>
          <w:color w:val="auto"/>
          <w:sz w:val="24"/>
          <w:szCs w:val="24"/>
        </w:rPr>
      </w:pPr>
      <w:r>
        <w:rPr>
          <w:rFonts w:hint="eastAsia" w:cs="Times New Roman"/>
          <w:color w:val="auto"/>
          <w:sz w:val="24"/>
          <w:szCs w:val="24"/>
          <w:lang w:val="en-US" w:eastAsia="zh-CN"/>
        </w:rPr>
        <w:t>预测</w:t>
      </w:r>
      <w:r>
        <w:rPr>
          <w:rFonts w:cs="Times New Roman"/>
          <w:color w:val="auto"/>
          <w:sz w:val="24"/>
          <w:szCs w:val="24"/>
        </w:rPr>
        <w:t>方法采用《生产建设项目水土保持技术标准》（GB 50433-2018）中推荐经验公式计算，当</w:t>
      </w:r>
      <w:r>
        <w:rPr>
          <w:rFonts w:hint="eastAsia" w:cs="Times New Roman"/>
          <w:color w:val="auto"/>
          <w:sz w:val="24"/>
          <w:szCs w:val="24"/>
          <w:lang w:val="en-US" w:eastAsia="zh-CN"/>
        </w:rPr>
        <w:t>预测</w:t>
      </w:r>
      <w:r>
        <w:rPr>
          <w:rFonts w:cs="Times New Roman"/>
          <w:color w:val="auto"/>
          <w:sz w:val="24"/>
          <w:szCs w:val="24"/>
        </w:rPr>
        <w:t>单元土壤侵蚀强度恢复到原地貌土壤侵蚀模数以下时，不再计算。</w:t>
      </w:r>
    </w:p>
    <w:p w14:paraId="614E141A">
      <w:pPr>
        <w:ind w:firstLine="0" w:firstLineChars="0"/>
        <w:jc w:val="center"/>
        <w:rPr>
          <w:rFonts w:cs="Times New Roman"/>
          <w:color w:val="auto"/>
          <w:sz w:val="24"/>
          <w:szCs w:val="24"/>
        </w:rPr>
      </w:pPr>
      <w:r>
        <w:rPr>
          <w:rFonts w:cs="Times New Roman"/>
          <w:color w:val="auto"/>
          <w:sz w:val="24"/>
          <w:szCs w:val="24"/>
        </w:rPr>
        <w:t>W=</w:t>
      </w:r>
      <m:oMath>
        <m:nary>
          <m:naryPr>
            <m:chr m:val="∑"/>
            <m:limLoc m:val="undOvr"/>
            <m:ctrlPr>
              <w:rPr>
                <w:rFonts w:ascii="Cambria Math" w:hAnsi="Cambria Math" w:cs="Times New Roman"/>
                <w:i/>
                <w:color w:val="auto"/>
                <w:sz w:val="24"/>
                <w:szCs w:val="24"/>
              </w:rPr>
            </m:ctrlPr>
          </m:naryPr>
          <m:sub>
            <m:r>
              <m:rPr/>
              <w:rPr>
                <w:rFonts w:ascii="Cambria Math" w:hAnsi="Cambria Math" w:cs="Times New Roman"/>
                <w:color w:val="auto"/>
                <w:sz w:val="24"/>
                <w:szCs w:val="24"/>
              </w:rPr>
              <m:t>j=1</m:t>
            </m:r>
            <m:ctrlPr>
              <w:rPr>
                <w:rFonts w:ascii="Cambria Math" w:hAnsi="Cambria Math" w:cs="Times New Roman"/>
                <w:i/>
                <w:color w:val="auto"/>
                <w:sz w:val="24"/>
                <w:szCs w:val="24"/>
              </w:rPr>
            </m:ctrlPr>
          </m:sub>
          <m:sup>
            <m:r>
              <m:rPr/>
              <w:rPr>
                <w:rFonts w:ascii="Cambria Math" w:hAnsi="Cambria Math" w:cs="Times New Roman"/>
                <w:color w:val="auto"/>
                <w:sz w:val="24"/>
                <w:szCs w:val="24"/>
              </w:rPr>
              <m:t>2</m:t>
            </m:r>
            <m:ctrlPr>
              <w:rPr>
                <w:rFonts w:ascii="Cambria Math" w:hAnsi="Cambria Math" w:cs="Times New Roman"/>
                <w:i/>
                <w:color w:val="auto"/>
                <w:sz w:val="24"/>
                <w:szCs w:val="24"/>
              </w:rPr>
            </m:ctrlPr>
          </m:sup>
          <m:e>
            <m:nary>
              <m:naryPr>
                <m:chr m:val="∑"/>
                <m:limLoc m:val="undOvr"/>
                <m:ctrlPr>
                  <w:rPr>
                    <w:rFonts w:ascii="Cambria Math" w:hAnsi="Cambria Math" w:cs="Times New Roman"/>
                    <w:i/>
                    <w:color w:val="auto"/>
                    <w:sz w:val="24"/>
                    <w:szCs w:val="24"/>
                  </w:rPr>
                </m:ctrlPr>
              </m:naryPr>
              <m:sub>
                <m:r>
                  <m:rPr/>
                  <w:rPr>
                    <w:rFonts w:ascii="Cambria Math" w:hAnsi="Cambria Math" w:cs="Times New Roman"/>
                    <w:color w:val="auto"/>
                    <w:sz w:val="24"/>
                    <w:szCs w:val="24"/>
                  </w:rPr>
                  <m:t>i=1</m:t>
                </m:r>
                <m:ctrlPr>
                  <w:rPr>
                    <w:rFonts w:ascii="Cambria Math" w:hAnsi="Cambria Math" w:cs="Times New Roman"/>
                    <w:i/>
                    <w:color w:val="auto"/>
                    <w:sz w:val="24"/>
                    <w:szCs w:val="24"/>
                  </w:rPr>
                </m:ctrlPr>
              </m:sub>
              <m:sup>
                <m:r>
                  <m:rPr/>
                  <w:rPr>
                    <w:rFonts w:ascii="Cambria Math" w:hAnsi="Cambria Math" w:cs="Times New Roman"/>
                    <w:color w:val="auto"/>
                    <w:sz w:val="24"/>
                    <w:szCs w:val="24"/>
                  </w:rPr>
                  <m:t>n</m:t>
                </m:r>
                <m:ctrlPr>
                  <w:rPr>
                    <w:rFonts w:ascii="Cambria Math" w:hAnsi="Cambria Math" w:cs="Times New Roman"/>
                    <w:i/>
                    <w:color w:val="auto"/>
                    <w:sz w:val="24"/>
                    <w:szCs w:val="24"/>
                  </w:rPr>
                </m:ctrlPr>
              </m:sup>
              <m:e>
                <m:sSub>
                  <m:sSubPr>
                    <m:ctrlPr>
                      <w:rPr>
                        <w:rFonts w:ascii="Cambria Math" w:hAnsi="Cambria Math" w:cs="Times New Roman"/>
                        <w:i/>
                        <w:color w:val="auto"/>
                        <w:sz w:val="24"/>
                        <w:szCs w:val="24"/>
                      </w:rPr>
                    </m:ctrlPr>
                  </m:sSubPr>
                  <m:e>
                    <m:r>
                      <m:rPr/>
                      <w:rPr>
                        <w:rFonts w:ascii="Cambria Math" w:hAnsi="Cambria Math" w:cs="Times New Roman"/>
                        <w:color w:val="auto"/>
                        <w:sz w:val="24"/>
                        <w:szCs w:val="24"/>
                      </w:rPr>
                      <m:t>F</m:t>
                    </m:r>
                    <m:ctrlPr>
                      <w:rPr>
                        <w:rFonts w:ascii="Cambria Math" w:hAnsi="Cambria Math" w:cs="Times New Roman"/>
                        <w:i/>
                        <w:color w:val="auto"/>
                        <w:sz w:val="24"/>
                        <w:szCs w:val="24"/>
                      </w:rPr>
                    </m:ctrlPr>
                  </m:e>
                  <m:sub>
                    <m:r>
                      <m:rPr/>
                      <w:rPr>
                        <w:rFonts w:ascii="Cambria Math" w:hAnsi="Cambria Math" w:cs="Times New Roman"/>
                        <w:color w:val="auto"/>
                        <w:sz w:val="24"/>
                        <w:szCs w:val="24"/>
                      </w:rPr>
                      <m:t>ji</m:t>
                    </m:r>
                    <m:ctrlPr>
                      <w:rPr>
                        <w:rFonts w:ascii="Cambria Math" w:hAnsi="Cambria Math" w:cs="Times New Roman"/>
                        <w:i/>
                        <w:color w:val="auto"/>
                        <w:sz w:val="24"/>
                        <w:szCs w:val="24"/>
                      </w:rPr>
                    </m:ctrlPr>
                  </m:sub>
                </m:sSub>
                <m:ctrlPr>
                  <w:rPr>
                    <w:rFonts w:ascii="Cambria Math" w:hAnsi="Cambria Math" w:cs="Times New Roman"/>
                    <w:i/>
                    <w:color w:val="auto"/>
                    <w:sz w:val="24"/>
                    <w:szCs w:val="24"/>
                  </w:rPr>
                </m:ctrlPr>
              </m:e>
            </m:nary>
            <m:ctrlPr>
              <w:rPr>
                <w:rFonts w:ascii="Cambria Math" w:hAnsi="Cambria Math" w:cs="Times New Roman"/>
                <w:i/>
                <w:color w:val="auto"/>
                <w:sz w:val="24"/>
                <w:szCs w:val="24"/>
              </w:rPr>
            </m:ctrlPr>
          </m:e>
        </m:nary>
        <m:sSub>
          <m:sSubPr>
            <m:ctrlPr>
              <w:rPr>
                <w:rFonts w:ascii="Cambria Math" w:hAnsi="Cambria Math" w:cs="Times New Roman"/>
                <w:i/>
                <w:color w:val="auto"/>
                <w:sz w:val="24"/>
                <w:szCs w:val="24"/>
              </w:rPr>
            </m:ctrlPr>
          </m:sSubPr>
          <m:e>
            <m:r>
              <m:rPr/>
              <w:rPr>
                <w:rFonts w:ascii="Cambria Math" w:hAnsi="Cambria Math" w:cs="Times New Roman"/>
                <w:color w:val="auto"/>
                <w:sz w:val="24"/>
                <w:szCs w:val="24"/>
              </w:rPr>
              <m:t>M</m:t>
            </m:r>
            <m:ctrlPr>
              <w:rPr>
                <w:rFonts w:ascii="Cambria Math" w:hAnsi="Cambria Math" w:cs="Times New Roman"/>
                <w:i/>
                <w:color w:val="auto"/>
                <w:sz w:val="24"/>
                <w:szCs w:val="24"/>
              </w:rPr>
            </m:ctrlPr>
          </m:e>
          <m:sub>
            <m:r>
              <m:rPr/>
              <w:rPr>
                <w:rFonts w:ascii="Cambria Math" w:hAnsi="Cambria Math" w:cs="Times New Roman"/>
                <w:color w:val="auto"/>
                <w:sz w:val="24"/>
                <w:szCs w:val="24"/>
              </w:rPr>
              <m:t>ji</m:t>
            </m:r>
            <m:ctrlPr>
              <w:rPr>
                <w:rFonts w:ascii="Cambria Math" w:hAnsi="Cambria Math" w:cs="Times New Roman"/>
                <w:i/>
                <w:color w:val="auto"/>
                <w:sz w:val="24"/>
                <w:szCs w:val="24"/>
              </w:rPr>
            </m:ctrlPr>
          </m:sub>
        </m:sSub>
        <m:sSub>
          <m:sSubPr>
            <m:ctrlPr>
              <w:rPr>
                <w:rFonts w:ascii="Cambria Math" w:hAnsi="Cambria Math" w:cs="Times New Roman"/>
                <w:i/>
                <w:color w:val="auto"/>
                <w:sz w:val="24"/>
                <w:szCs w:val="24"/>
              </w:rPr>
            </m:ctrlPr>
          </m:sSubPr>
          <m:e>
            <m:r>
              <m:rPr/>
              <w:rPr>
                <w:rFonts w:ascii="Cambria Math" w:hAnsi="Cambria Math" w:cs="Times New Roman"/>
                <w:color w:val="auto"/>
                <w:sz w:val="24"/>
                <w:szCs w:val="24"/>
              </w:rPr>
              <m:t>T</m:t>
            </m:r>
            <m:ctrlPr>
              <w:rPr>
                <w:rFonts w:ascii="Cambria Math" w:hAnsi="Cambria Math" w:cs="Times New Roman"/>
                <w:i/>
                <w:color w:val="auto"/>
                <w:sz w:val="24"/>
                <w:szCs w:val="24"/>
              </w:rPr>
            </m:ctrlPr>
          </m:e>
          <m:sub>
            <m:r>
              <m:rPr/>
              <w:rPr>
                <w:rFonts w:ascii="Cambria Math" w:hAnsi="Cambria Math" w:cs="Times New Roman"/>
                <w:color w:val="auto"/>
                <w:sz w:val="24"/>
                <w:szCs w:val="24"/>
              </w:rPr>
              <m:t>ji</m:t>
            </m:r>
            <m:ctrlPr>
              <w:rPr>
                <w:rFonts w:ascii="Cambria Math" w:hAnsi="Cambria Math" w:cs="Times New Roman"/>
                <w:i/>
                <w:color w:val="auto"/>
                <w:sz w:val="24"/>
                <w:szCs w:val="24"/>
              </w:rPr>
            </m:ctrlPr>
          </m:sub>
        </m:sSub>
      </m:oMath>
    </w:p>
    <w:p w14:paraId="5B930150">
      <w:pPr>
        <w:ind w:firstLine="228" w:firstLineChars="95"/>
        <w:rPr>
          <w:rFonts w:cs="Times New Roman"/>
          <w:color w:val="auto"/>
          <w:sz w:val="24"/>
          <w:szCs w:val="24"/>
        </w:rPr>
      </w:pPr>
      <w:r>
        <w:rPr>
          <w:rFonts w:cs="Times New Roman"/>
          <w:color w:val="auto"/>
          <w:sz w:val="24"/>
          <w:szCs w:val="24"/>
        </w:rPr>
        <w:t>式中：W——土壤流失量（t）；</w:t>
      </w:r>
    </w:p>
    <w:p w14:paraId="5BAE0F89">
      <w:pPr>
        <w:ind w:firstLine="0" w:firstLineChars="0"/>
        <w:jc w:val="center"/>
        <w:rPr>
          <w:rFonts w:cs="Times New Roman"/>
          <w:color w:val="auto"/>
          <w:sz w:val="24"/>
          <w:szCs w:val="24"/>
        </w:rPr>
      </w:pPr>
      <w:r>
        <w:rPr>
          <w:rFonts w:cs="Times New Roman"/>
          <w:color w:val="auto"/>
          <w:sz w:val="24"/>
          <w:szCs w:val="24"/>
        </w:rPr>
        <w:t xml:space="preserve">        j——</w:t>
      </w:r>
      <w:r>
        <w:rPr>
          <w:rFonts w:hint="eastAsia" w:cs="Times New Roman"/>
          <w:color w:val="auto"/>
          <w:sz w:val="24"/>
          <w:szCs w:val="24"/>
          <w:lang w:val="en-US" w:eastAsia="zh-CN"/>
        </w:rPr>
        <w:t>预测</w:t>
      </w:r>
      <w:r>
        <w:rPr>
          <w:rFonts w:cs="Times New Roman"/>
          <w:color w:val="auto"/>
          <w:sz w:val="24"/>
          <w:szCs w:val="24"/>
        </w:rPr>
        <w:t>时段，j=1，2，即指施工期（含施工准备期）和自然恢复期两个时段；</w:t>
      </w:r>
    </w:p>
    <w:p w14:paraId="6EC18FF6">
      <w:pPr>
        <w:ind w:firstLine="1080" w:firstLineChars="450"/>
        <w:rPr>
          <w:rFonts w:cs="Times New Roman"/>
          <w:color w:val="auto"/>
          <w:sz w:val="24"/>
          <w:szCs w:val="24"/>
        </w:rPr>
      </w:pPr>
      <w:r>
        <w:rPr>
          <w:rFonts w:cs="Times New Roman"/>
          <w:color w:val="auto"/>
          <w:sz w:val="24"/>
          <w:szCs w:val="24"/>
        </w:rPr>
        <w:t>i——</w:t>
      </w:r>
      <w:r>
        <w:rPr>
          <w:rFonts w:hint="eastAsia" w:cs="Times New Roman"/>
          <w:color w:val="auto"/>
          <w:sz w:val="24"/>
          <w:szCs w:val="24"/>
          <w:lang w:val="en-US" w:eastAsia="zh-CN"/>
        </w:rPr>
        <w:t>预测</w:t>
      </w:r>
      <w:r>
        <w:rPr>
          <w:rFonts w:cs="Times New Roman"/>
          <w:color w:val="auto"/>
          <w:sz w:val="24"/>
          <w:szCs w:val="24"/>
        </w:rPr>
        <w:t xml:space="preserve">单元，i=1，2，3，…，n-1，n；  </w:t>
      </w:r>
    </w:p>
    <w:p w14:paraId="3FCFE467">
      <w:pPr>
        <w:ind w:firstLine="948" w:firstLineChars="395"/>
        <w:rPr>
          <w:rFonts w:cs="Times New Roman"/>
          <w:color w:val="auto"/>
          <w:sz w:val="24"/>
          <w:szCs w:val="24"/>
        </w:rPr>
      </w:pPr>
      <m:oMath>
        <m:sSub>
          <m:sSubPr>
            <m:ctrlPr>
              <w:rPr>
                <w:rFonts w:ascii="Cambria Math" w:hAnsi="Cambria Math" w:cs="Times New Roman"/>
                <w:i/>
                <w:color w:val="auto"/>
                <w:sz w:val="24"/>
                <w:szCs w:val="24"/>
              </w:rPr>
            </m:ctrlPr>
          </m:sSubPr>
          <m:e>
            <m:r>
              <m:rPr/>
              <w:rPr>
                <w:rFonts w:ascii="Cambria Math" w:hAnsi="Cambria Math" w:cs="Times New Roman"/>
                <w:color w:val="auto"/>
                <w:sz w:val="24"/>
                <w:szCs w:val="24"/>
              </w:rPr>
              <m:t>F</m:t>
            </m:r>
            <m:ctrlPr>
              <w:rPr>
                <w:rFonts w:ascii="Cambria Math" w:hAnsi="Cambria Math" w:cs="Times New Roman"/>
                <w:i/>
                <w:color w:val="auto"/>
                <w:sz w:val="24"/>
                <w:szCs w:val="24"/>
              </w:rPr>
            </m:ctrlPr>
          </m:e>
          <m:sub>
            <m:r>
              <m:rPr/>
              <w:rPr>
                <w:rFonts w:ascii="Cambria Math" w:hAnsi="Cambria Math" w:cs="Times New Roman"/>
                <w:color w:val="auto"/>
                <w:sz w:val="24"/>
                <w:szCs w:val="24"/>
              </w:rPr>
              <m:t>ji</m:t>
            </m:r>
            <m:ctrlPr>
              <w:rPr>
                <w:rFonts w:ascii="Cambria Math" w:hAnsi="Cambria Math" w:cs="Times New Roman"/>
                <w:i/>
                <w:color w:val="auto"/>
                <w:sz w:val="24"/>
                <w:szCs w:val="24"/>
              </w:rPr>
            </m:ctrlPr>
          </m:sub>
        </m:sSub>
      </m:oMath>
      <w:r>
        <w:rPr>
          <w:rFonts w:cs="Times New Roman"/>
          <w:color w:val="auto"/>
          <w:sz w:val="24"/>
          <w:szCs w:val="24"/>
        </w:rPr>
        <w:t>——第j</w:t>
      </w:r>
      <w:r>
        <w:rPr>
          <w:rFonts w:hint="eastAsia" w:cs="Times New Roman"/>
          <w:color w:val="auto"/>
          <w:sz w:val="24"/>
          <w:szCs w:val="24"/>
          <w:lang w:val="en-US" w:eastAsia="zh-CN"/>
        </w:rPr>
        <w:t>预测</w:t>
      </w:r>
      <w:r>
        <w:rPr>
          <w:rFonts w:cs="Times New Roman"/>
          <w:color w:val="auto"/>
          <w:sz w:val="24"/>
          <w:szCs w:val="24"/>
        </w:rPr>
        <w:t>时段、第i</w:t>
      </w:r>
      <w:r>
        <w:rPr>
          <w:rFonts w:hint="eastAsia" w:cs="Times New Roman"/>
          <w:color w:val="auto"/>
          <w:sz w:val="24"/>
          <w:szCs w:val="24"/>
          <w:lang w:val="en-US" w:eastAsia="zh-CN"/>
        </w:rPr>
        <w:t>预测</w:t>
      </w:r>
      <w:r>
        <w:rPr>
          <w:rFonts w:cs="Times New Roman"/>
          <w:color w:val="auto"/>
          <w:sz w:val="24"/>
          <w:szCs w:val="24"/>
        </w:rPr>
        <w:t>单元的面积（km</w:t>
      </w:r>
      <w:r>
        <w:rPr>
          <w:rFonts w:cs="Times New Roman"/>
          <w:color w:val="auto"/>
          <w:sz w:val="24"/>
          <w:szCs w:val="24"/>
          <w:vertAlign w:val="superscript"/>
        </w:rPr>
        <w:t>2</w:t>
      </w:r>
      <w:r>
        <w:rPr>
          <w:rFonts w:cs="Times New Roman"/>
          <w:color w:val="auto"/>
          <w:sz w:val="24"/>
          <w:szCs w:val="24"/>
        </w:rPr>
        <w:t>）；</w:t>
      </w:r>
    </w:p>
    <w:p w14:paraId="42E1387D">
      <w:pPr>
        <w:ind w:firstLine="948" w:firstLineChars="395"/>
        <w:rPr>
          <w:rFonts w:cs="Times New Roman"/>
          <w:color w:val="auto"/>
          <w:sz w:val="24"/>
          <w:szCs w:val="24"/>
        </w:rPr>
      </w:pPr>
      <m:oMath>
        <m:sSub>
          <m:sSubPr>
            <m:ctrlPr>
              <w:rPr>
                <w:rFonts w:ascii="Cambria Math" w:hAnsi="Cambria Math" w:cs="Times New Roman"/>
                <w:i/>
                <w:color w:val="auto"/>
                <w:sz w:val="24"/>
                <w:szCs w:val="24"/>
              </w:rPr>
            </m:ctrlPr>
          </m:sSubPr>
          <m:e>
            <m:r>
              <m:rPr/>
              <w:rPr>
                <w:rFonts w:ascii="Cambria Math" w:hAnsi="Cambria Math" w:cs="Times New Roman"/>
                <w:color w:val="auto"/>
                <w:sz w:val="24"/>
                <w:szCs w:val="24"/>
              </w:rPr>
              <m:t>M</m:t>
            </m:r>
            <m:ctrlPr>
              <w:rPr>
                <w:rFonts w:ascii="Cambria Math" w:hAnsi="Cambria Math" w:cs="Times New Roman"/>
                <w:i/>
                <w:color w:val="auto"/>
                <w:sz w:val="24"/>
                <w:szCs w:val="24"/>
              </w:rPr>
            </m:ctrlPr>
          </m:e>
          <m:sub>
            <m:r>
              <m:rPr/>
              <w:rPr>
                <w:rFonts w:ascii="Cambria Math" w:hAnsi="Cambria Math" w:cs="Times New Roman"/>
                <w:color w:val="auto"/>
                <w:sz w:val="24"/>
                <w:szCs w:val="24"/>
              </w:rPr>
              <m:t>ji</m:t>
            </m:r>
            <m:ctrlPr>
              <w:rPr>
                <w:rFonts w:ascii="Cambria Math" w:hAnsi="Cambria Math" w:cs="Times New Roman"/>
                <w:i/>
                <w:color w:val="auto"/>
                <w:sz w:val="24"/>
                <w:szCs w:val="24"/>
              </w:rPr>
            </m:ctrlPr>
          </m:sub>
        </m:sSub>
      </m:oMath>
      <w:r>
        <w:rPr>
          <w:rFonts w:cs="Times New Roman"/>
          <w:color w:val="auto"/>
          <w:sz w:val="24"/>
          <w:szCs w:val="24"/>
        </w:rPr>
        <w:t>——第j</w:t>
      </w:r>
      <w:r>
        <w:rPr>
          <w:rFonts w:hint="eastAsia" w:cs="Times New Roman"/>
          <w:color w:val="auto"/>
          <w:sz w:val="24"/>
          <w:szCs w:val="24"/>
          <w:lang w:val="en-US" w:eastAsia="zh-CN"/>
        </w:rPr>
        <w:t>预测</w:t>
      </w:r>
      <w:r>
        <w:rPr>
          <w:rFonts w:cs="Times New Roman"/>
          <w:color w:val="auto"/>
          <w:sz w:val="24"/>
          <w:szCs w:val="24"/>
        </w:rPr>
        <w:t>时段、第i</w:t>
      </w:r>
      <w:r>
        <w:rPr>
          <w:rFonts w:hint="eastAsia" w:cs="Times New Roman"/>
          <w:color w:val="auto"/>
          <w:sz w:val="24"/>
          <w:szCs w:val="24"/>
          <w:lang w:val="en-US" w:eastAsia="zh-CN"/>
        </w:rPr>
        <w:t>预测</w:t>
      </w:r>
      <w:r>
        <w:rPr>
          <w:rFonts w:cs="Times New Roman"/>
          <w:color w:val="auto"/>
          <w:sz w:val="24"/>
          <w:szCs w:val="24"/>
        </w:rPr>
        <w:t>单元的土壤侵蚀模数[t/(km</w:t>
      </w:r>
      <w:r>
        <w:rPr>
          <w:rFonts w:cs="Times New Roman"/>
          <w:color w:val="auto"/>
          <w:sz w:val="24"/>
          <w:szCs w:val="24"/>
          <w:vertAlign w:val="superscript"/>
        </w:rPr>
        <w:t>2</w:t>
      </w:r>
      <w:r>
        <w:rPr>
          <w:rFonts w:cs="Times New Roman"/>
          <w:color w:val="auto"/>
          <w:sz w:val="24"/>
          <w:szCs w:val="24"/>
        </w:rPr>
        <w:t>▪a)] ；</w:t>
      </w:r>
    </w:p>
    <w:p w14:paraId="0B224EA2">
      <w:pPr>
        <w:ind w:firstLine="948" w:firstLineChars="395"/>
        <w:rPr>
          <w:rFonts w:cs="Times New Roman"/>
          <w:color w:val="auto"/>
          <w:sz w:val="24"/>
          <w:szCs w:val="24"/>
        </w:rPr>
      </w:pPr>
      <m:oMath>
        <m:sSub>
          <m:sSubPr>
            <m:ctrlPr>
              <w:rPr>
                <w:rFonts w:ascii="Cambria Math" w:hAnsi="Cambria Math" w:cs="Times New Roman"/>
                <w:i/>
                <w:color w:val="auto"/>
                <w:sz w:val="24"/>
                <w:szCs w:val="24"/>
              </w:rPr>
            </m:ctrlPr>
          </m:sSubPr>
          <m:e>
            <m:r>
              <m:rPr/>
              <w:rPr>
                <w:rFonts w:ascii="Cambria Math" w:hAnsi="Cambria Math" w:cs="Times New Roman"/>
                <w:color w:val="auto"/>
                <w:sz w:val="24"/>
                <w:szCs w:val="24"/>
              </w:rPr>
              <m:t>T</m:t>
            </m:r>
            <m:ctrlPr>
              <w:rPr>
                <w:rFonts w:ascii="Cambria Math" w:hAnsi="Cambria Math" w:cs="Times New Roman"/>
                <w:i/>
                <w:color w:val="auto"/>
                <w:sz w:val="24"/>
                <w:szCs w:val="24"/>
              </w:rPr>
            </m:ctrlPr>
          </m:e>
          <m:sub>
            <m:r>
              <m:rPr/>
              <w:rPr>
                <w:rFonts w:ascii="Cambria Math" w:hAnsi="Cambria Math" w:cs="Times New Roman"/>
                <w:color w:val="auto"/>
                <w:sz w:val="24"/>
                <w:szCs w:val="24"/>
              </w:rPr>
              <m:t>ji</m:t>
            </m:r>
            <m:ctrlPr>
              <w:rPr>
                <w:rFonts w:ascii="Cambria Math" w:hAnsi="Cambria Math" w:cs="Times New Roman"/>
                <w:i/>
                <w:color w:val="auto"/>
                <w:sz w:val="24"/>
                <w:szCs w:val="24"/>
              </w:rPr>
            </m:ctrlPr>
          </m:sub>
        </m:sSub>
      </m:oMath>
      <w:r>
        <w:rPr>
          <w:rFonts w:cs="Times New Roman"/>
          <w:color w:val="auto"/>
          <w:sz w:val="24"/>
          <w:szCs w:val="24"/>
        </w:rPr>
        <w:t>——第j</w:t>
      </w:r>
      <w:r>
        <w:rPr>
          <w:rFonts w:hint="eastAsia" w:cs="Times New Roman"/>
          <w:color w:val="auto"/>
          <w:sz w:val="24"/>
          <w:szCs w:val="24"/>
          <w:lang w:val="en-US" w:eastAsia="zh-CN"/>
        </w:rPr>
        <w:t>预测</w:t>
      </w:r>
      <w:r>
        <w:rPr>
          <w:rFonts w:cs="Times New Roman"/>
          <w:color w:val="auto"/>
          <w:sz w:val="24"/>
          <w:szCs w:val="24"/>
        </w:rPr>
        <w:t>时段、第i</w:t>
      </w:r>
      <w:r>
        <w:rPr>
          <w:rFonts w:hint="eastAsia" w:cs="Times New Roman"/>
          <w:color w:val="auto"/>
          <w:sz w:val="24"/>
          <w:szCs w:val="24"/>
          <w:lang w:val="en-US" w:eastAsia="zh-CN"/>
        </w:rPr>
        <w:t>预测</w:t>
      </w:r>
      <w:r>
        <w:rPr>
          <w:rFonts w:cs="Times New Roman"/>
          <w:color w:val="auto"/>
          <w:sz w:val="24"/>
          <w:szCs w:val="24"/>
        </w:rPr>
        <w:t>单元的</w:t>
      </w:r>
      <w:r>
        <w:rPr>
          <w:rFonts w:hint="eastAsia" w:cs="Times New Roman"/>
          <w:color w:val="auto"/>
          <w:sz w:val="24"/>
          <w:szCs w:val="24"/>
          <w:lang w:eastAsia="zh-CN"/>
        </w:rPr>
        <w:t>预测</w:t>
      </w:r>
      <w:r>
        <w:rPr>
          <w:rFonts w:cs="Times New Roman"/>
          <w:color w:val="auto"/>
          <w:sz w:val="24"/>
          <w:szCs w:val="24"/>
        </w:rPr>
        <w:t>时段长（a）。</w:t>
      </w:r>
    </w:p>
    <w:p w14:paraId="04A3B831">
      <w:pPr>
        <w:pStyle w:val="6"/>
        <w:bidi w:val="0"/>
        <w:rPr>
          <w:rFonts w:hint="eastAsia"/>
          <w:color w:val="auto"/>
          <w:lang w:val="en-US" w:eastAsia="zh-CN"/>
        </w:rPr>
      </w:pPr>
      <w:r>
        <w:rPr>
          <w:rFonts w:hint="eastAsia"/>
          <w:color w:val="auto"/>
          <w:lang w:val="en-US" w:eastAsia="zh-CN"/>
        </w:rPr>
        <w:t>4.3.4.2预测</w:t>
      </w:r>
      <w:r>
        <w:rPr>
          <w:color w:val="auto"/>
        </w:rPr>
        <w:t>结果</w:t>
      </w:r>
      <w:r>
        <w:rPr>
          <w:rFonts w:hint="eastAsia"/>
          <w:color w:val="auto"/>
          <w:lang w:val="en-US" w:eastAsia="zh-CN"/>
        </w:rPr>
        <w:t>分析</w:t>
      </w:r>
    </w:p>
    <w:p w14:paraId="07F90ECF">
      <w:pPr>
        <w:bidi w:val="0"/>
        <w:rPr>
          <w:color w:val="auto"/>
        </w:rPr>
      </w:pPr>
      <w:r>
        <w:rPr>
          <w:color w:val="auto"/>
        </w:rPr>
        <w:t>根据以上划分的</w:t>
      </w:r>
      <w:r>
        <w:rPr>
          <w:rFonts w:hint="eastAsia"/>
          <w:color w:val="auto"/>
          <w:lang w:val="en-US" w:eastAsia="zh-CN"/>
        </w:rPr>
        <w:t>预测</w:t>
      </w:r>
      <w:r>
        <w:rPr>
          <w:color w:val="auto"/>
        </w:rPr>
        <w:t>单元，确定的</w:t>
      </w:r>
      <w:r>
        <w:rPr>
          <w:rFonts w:hint="eastAsia"/>
          <w:color w:val="auto"/>
          <w:lang w:val="en-US" w:eastAsia="zh-CN"/>
        </w:rPr>
        <w:t>预测</w:t>
      </w:r>
      <w:r>
        <w:rPr>
          <w:color w:val="auto"/>
        </w:rPr>
        <w:t>时段，</w:t>
      </w:r>
      <w:r>
        <w:rPr>
          <w:rFonts w:hint="eastAsia"/>
          <w:color w:val="auto"/>
          <w:lang w:val="en-US" w:eastAsia="zh-CN"/>
        </w:rPr>
        <w:t>预测</w:t>
      </w:r>
      <w:r>
        <w:rPr>
          <w:color w:val="auto"/>
        </w:rPr>
        <w:t>方法，计算出项目</w:t>
      </w:r>
      <w:r>
        <w:rPr>
          <w:rFonts w:hint="eastAsia"/>
          <w:color w:val="auto"/>
        </w:rPr>
        <w:t>土壤</w:t>
      </w:r>
      <w:r>
        <w:rPr>
          <w:color w:val="auto"/>
        </w:rPr>
        <w:t>流失量，见下表：</w:t>
      </w:r>
    </w:p>
    <w:p w14:paraId="658391A6">
      <w:pPr>
        <w:pStyle w:val="35"/>
        <w:bidi w:val="0"/>
        <w:rPr>
          <w:rFonts w:hint="eastAsia"/>
          <w:color w:val="auto"/>
          <w:lang w:val="en-US" w:eastAsia="zh-CN"/>
        </w:rPr>
      </w:pPr>
      <w:r>
        <w:rPr>
          <w:color w:val="auto"/>
        </w:rPr>
        <w:t>表4</w:t>
      </w:r>
      <w:r>
        <w:rPr>
          <w:rFonts w:hint="eastAsia"/>
          <w:color w:val="auto"/>
          <w:lang w:val="en-US" w:eastAsia="zh-CN"/>
        </w:rPr>
        <w:t>.3</w:t>
      </w:r>
      <w:r>
        <w:rPr>
          <w:color w:val="auto"/>
        </w:rPr>
        <w:t>-</w:t>
      </w:r>
      <w:r>
        <w:rPr>
          <w:rFonts w:hint="eastAsia"/>
          <w:color w:val="auto"/>
          <w:lang w:val="en-US" w:eastAsia="zh-CN"/>
        </w:rPr>
        <w:t>3</w:t>
      </w:r>
      <w:r>
        <w:rPr>
          <w:color w:val="auto"/>
        </w:rPr>
        <w:t xml:space="preserve"> 土壤流失量</w:t>
      </w:r>
      <w:r>
        <w:rPr>
          <w:rFonts w:hint="eastAsia"/>
          <w:color w:val="auto"/>
          <w:lang w:val="en-US" w:eastAsia="zh-CN"/>
        </w:rPr>
        <w:t>计算表</w:t>
      </w:r>
    </w:p>
    <w:tbl>
      <w:tblPr>
        <w:tblStyle w:val="25"/>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025"/>
        <w:gridCol w:w="1202"/>
        <w:gridCol w:w="983"/>
        <w:gridCol w:w="1443"/>
        <w:gridCol w:w="899"/>
        <w:gridCol w:w="633"/>
        <w:gridCol w:w="901"/>
        <w:gridCol w:w="1022"/>
        <w:gridCol w:w="1173"/>
      </w:tblGrid>
      <w:tr w14:paraId="681568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5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13FEE21">
            <w:pPr>
              <w:pStyle w:val="34"/>
              <w:bidi w:val="0"/>
            </w:pPr>
            <w:r>
              <w:rPr>
                <w:rFonts w:hint="eastAsia"/>
                <w:lang w:val="en-US" w:eastAsia="zh-CN"/>
              </w:rPr>
              <w:t>预测时期</w:t>
            </w:r>
          </w:p>
        </w:tc>
        <w:tc>
          <w:tcPr>
            <w:tcW w:w="6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D084B7">
            <w:pPr>
              <w:pStyle w:val="34"/>
              <w:bidi w:val="0"/>
              <w:rPr>
                <w:rFonts w:hint="eastAsia"/>
              </w:rPr>
            </w:pPr>
            <w:r>
              <w:rPr>
                <w:rFonts w:hint="eastAsia"/>
                <w:lang w:val="en-US" w:eastAsia="zh-CN"/>
              </w:rPr>
              <w:t>预测单元</w:t>
            </w:r>
          </w:p>
        </w:tc>
        <w:tc>
          <w:tcPr>
            <w:tcW w:w="52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F3098E0">
            <w:pPr>
              <w:pStyle w:val="34"/>
              <w:bidi w:val="0"/>
              <w:rPr>
                <w:rFonts w:hint="eastAsia"/>
              </w:rPr>
            </w:pPr>
            <w:r>
              <w:rPr>
                <w:rFonts w:hint="eastAsia"/>
                <w:lang w:val="en-US" w:eastAsia="zh-CN"/>
              </w:rPr>
              <w:t>预测时间</w:t>
            </w:r>
            <w:r>
              <w:rPr>
                <w:rFonts w:hint="default"/>
                <w:lang w:val="en-US" w:eastAsia="zh-CN"/>
              </w:rPr>
              <w:t>(a)</w:t>
            </w:r>
          </w:p>
        </w:tc>
        <w:tc>
          <w:tcPr>
            <w:tcW w:w="77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A5FB108">
            <w:pPr>
              <w:pStyle w:val="34"/>
              <w:bidi w:val="0"/>
              <w:rPr>
                <w:rFonts w:hint="eastAsia"/>
              </w:rPr>
            </w:pPr>
            <w:r>
              <w:rPr>
                <w:rFonts w:hint="eastAsia"/>
                <w:lang w:val="en-US" w:eastAsia="zh-CN"/>
              </w:rPr>
              <w:t>预测面积（</w:t>
            </w:r>
            <w:r>
              <w:rPr>
                <w:rFonts w:hint="default"/>
                <w:lang w:val="en-US" w:eastAsia="zh-CN"/>
              </w:rPr>
              <w:t>hm</w:t>
            </w:r>
            <w:r>
              <w:rPr>
                <w:rFonts w:hint="default"/>
                <w:vertAlign w:val="superscript"/>
                <w:lang w:val="en-US" w:eastAsia="zh-CN"/>
              </w:rPr>
              <w:t>2</w:t>
            </w:r>
            <w:r>
              <w:rPr>
                <w:rFonts w:hint="eastAsia"/>
                <w:lang w:val="en-US" w:eastAsia="zh-CN"/>
              </w:rPr>
              <w:t>）</w:t>
            </w:r>
          </w:p>
        </w:tc>
        <w:tc>
          <w:tcPr>
            <w:tcW w:w="82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AA89E2C">
            <w:pPr>
              <w:pStyle w:val="34"/>
              <w:bidi w:val="0"/>
              <w:rPr>
                <w:rFonts w:hint="eastAsia"/>
              </w:rPr>
            </w:pPr>
            <w:r>
              <w:rPr>
                <w:rFonts w:hint="eastAsia"/>
                <w:lang w:val="en-US" w:eastAsia="zh-CN"/>
              </w:rPr>
              <w:t>背景值</w:t>
            </w:r>
          </w:p>
        </w:tc>
        <w:tc>
          <w:tcPr>
            <w:tcW w:w="1035"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45BBD04">
            <w:pPr>
              <w:pStyle w:val="34"/>
              <w:bidi w:val="0"/>
              <w:rPr>
                <w:rFonts w:hint="eastAsia"/>
              </w:rPr>
            </w:pPr>
            <w:r>
              <w:rPr>
                <w:rFonts w:hint="eastAsia"/>
                <w:lang w:val="en-US" w:eastAsia="zh-CN"/>
              </w:rPr>
              <w:t>扰动后</w:t>
            </w:r>
          </w:p>
        </w:tc>
        <w:tc>
          <w:tcPr>
            <w:tcW w:w="631"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598A93">
            <w:pPr>
              <w:pStyle w:val="34"/>
              <w:bidi w:val="0"/>
              <w:rPr>
                <w:rFonts w:hint="eastAsia"/>
              </w:rPr>
            </w:pPr>
            <w:r>
              <w:rPr>
                <w:rFonts w:hint="eastAsia"/>
                <w:lang w:val="en-US" w:eastAsia="zh-CN"/>
              </w:rPr>
              <w:t>新增流失量（</w:t>
            </w:r>
            <w:r>
              <w:rPr>
                <w:rFonts w:hint="default"/>
                <w:lang w:val="en-US" w:eastAsia="zh-CN"/>
              </w:rPr>
              <w:t>t</w:t>
            </w:r>
            <w:r>
              <w:rPr>
                <w:rFonts w:hint="eastAsia"/>
                <w:lang w:val="en-US" w:eastAsia="zh-CN"/>
              </w:rPr>
              <w:t>）</w:t>
            </w:r>
          </w:p>
        </w:tc>
      </w:tr>
      <w:tr w14:paraId="198DD1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B34345">
            <w:pPr>
              <w:pStyle w:val="34"/>
              <w:bidi w:val="0"/>
              <w:rPr>
                <w:rFonts w:hint="eastAsia"/>
              </w:rPr>
            </w:pPr>
          </w:p>
        </w:tc>
        <w:tc>
          <w:tcPr>
            <w:tcW w:w="6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ED51EA">
            <w:pPr>
              <w:pStyle w:val="34"/>
              <w:bidi w:val="0"/>
              <w:rPr>
                <w:rFonts w:hint="eastAsia"/>
              </w:rPr>
            </w:pPr>
          </w:p>
        </w:tc>
        <w:tc>
          <w:tcPr>
            <w:tcW w:w="5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5D4F9E">
            <w:pPr>
              <w:pStyle w:val="34"/>
              <w:bidi w:val="0"/>
              <w:rPr>
                <w:rFonts w:hint="eastAsia"/>
              </w:rPr>
            </w:pPr>
          </w:p>
        </w:tc>
        <w:tc>
          <w:tcPr>
            <w:tcW w:w="77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794382">
            <w:pPr>
              <w:pStyle w:val="34"/>
              <w:bidi w:val="0"/>
              <w:rPr>
                <w:rFonts w:hint="eastAsia"/>
              </w:rPr>
            </w:pP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538CF7">
            <w:pPr>
              <w:pStyle w:val="34"/>
              <w:bidi w:val="0"/>
              <w:rPr>
                <w:rFonts w:hint="eastAsia"/>
              </w:rPr>
            </w:pPr>
            <w:r>
              <w:rPr>
                <w:rFonts w:hint="eastAsia"/>
                <w:lang w:val="en-US" w:eastAsia="zh-CN"/>
              </w:rPr>
              <w:t>侵蚀模数</w:t>
            </w:r>
          </w:p>
        </w:tc>
        <w:tc>
          <w:tcPr>
            <w:tcW w:w="3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5D1B420">
            <w:pPr>
              <w:pStyle w:val="34"/>
              <w:bidi w:val="0"/>
              <w:rPr>
                <w:rFonts w:hint="eastAsia"/>
              </w:rPr>
            </w:pPr>
            <w:r>
              <w:rPr>
                <w:rFonts w:hint="eastAsia"/>
                <w:lang w:val="en-US" w:eastAsia="zh-CN"/>
              </w:rPr>
              <w:t>侵蚀量（</w:t>
            </w:r>
            <w:r>
              <w:rPr>
                <w:rFonts w:hint="default"/>
                <w:lang w:val="en-US" w:eastAsia="zh-CN"/>
              </w:rPr>
              <w:t>t</w:t>
            </w:r>
            <w:r>
              <w:rPr>
                <w:rFonts w:hint="eastAsia"/>
                <w:lang w:val="en-US" w:eastAsia="zh-CN"/>
              </w:rPr>
              <w:t>）</w:t>
            </w:r>
          </w:p>
        </w:tc>
        <w:tc>
          <w:tcPr>
            <w:tcW w:w="4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72FEB0">
            <w:pPr>
              <w:pStyle w:val="34"/>
              <w:bidi w:val="0"/>
              <w:rPr>
                <w:rFonts w:hint="eastAsia"/>
              </w:rPr>
            </w:pPr>
            <w:r>
              <w:rPr>
                <w:rFonts w:hint="eastAsia"/>
                <w:lang w:val="en-US" w:eastAsia="zh-CN"/>
              </w:rPr>
              <w:t>侵蚀模数</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A8DAD1C">
            <w:pPr>
              <w:pStyle w:val="34"/>
              <w:bidi w:val="0"/>
              <w:rPr>
                <w:rFonts w:hint="eastAsia"/>
              </w:rPr>
            </w:pPr>
            <w:r>
              <w:rPr>
                <w:rFonts w:hint="eastAsia"/>
                <w:lang w:val="en-US" w:eastAsia="zh-CN"/>
              </w:rPr>
              <w:t>侵蚀量（</w:t>
            </w:r>
            <w:r>
              <w:rPr>
                <w:rFonts w:hint="default"/>
                <w:lang w:val="en-US" w:eastAsia="zh-CN"/>
              </w:rPr>
              <w:t>t</w:t>
            </w:r>
            <w:r>
              <w:rPr>
                <w:rFonts w:hint="eastAsia"/>
                <w:lang w:val="en-US" w:eastAsia="zh-CN"/>
              </w:rPr>
              <w:t>）</w:t>
            </w:r>
          </w:p>
        </w:tc>
        <w:tc>
          <w:tcPr>
            <w:tcW w:w="63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5730E">
            <w:pPr>
              <w:pStyle w:val="34"/>
              <w:bidi w:val="0"/>
              <w:rPr>
                <w:rFonts w:hint="eastAsia"/>
              </w:rPr>
            </w:pPr>
          </w:p>
        </w:tc>
      </w:tr>
      <w:tr w14:paraId="0D271D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2246D2">
            <w:pPr>
              <w:pStyle w:val="34"/>
              <w:bidi w:val="0"/>
              <w:rPr>
                <w:rFonts w:hint="eastAsia"/>
              </w:rPr>
            </w:pPr>
          </w:p>
        </w:tc>
        <w:tc>
          <w:tcPr>
            <w:tcW w:w="6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6E1CA3">
            <w:pPr>
              <w:pStyle w:val="34"/>
              <w:bidi w:val="0"/>
              <w:rPr>
                <w:rFonts w:hint="eastAsia"/>
              </w:rPr>
            </w:pPr>
          </w:p>
        </w:tc>
        <w:tc>
          <w:tcPr>
            <w:tcW w:w="52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3E1C4C">
            <w:pPr>
              <w:pStyle w:val="34"/>
              <w:bidi w:val="0"/>
              <w:rPr>
                <w:rFonts w:hint="eastAsia"/>
              </w:rPr>
            </w:pPr>
          </w:p>
        </w:tc>
        <w:tc>
          <w:tcPr>
            <w:tcW w:w="77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22F6B0">
            <w:pPr>
              <w:pStyle w:val="34"/>
              <w:bidi w:val="0"/>
              <w:rPr>
                <w:rFonts w:hint="eastAsia"/>
              </w:rPr>
            </w:pP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01C91">
            <w:pPr>
              <w:pStyle w:val="34"/>
              <w:bidi w:val="0"/>
              <w:rPr>
                <w:rFonts w:hint="default"/>
              </w:rPr>
            </w:pPr>
            <w:r>
              <w:rPr>
                <w:rFonts w:hint="default"/>
                <w:lang w:val="en-US" w:eastAsia="zh-CN"/>
              </w:rPr>
              <w:t>t/(km</w:t>
            </w:r>
            <w:r>
              <w:rPr>
                <w:rFonts w:hint="default"/>
                <w:vertAlign w:val="superscript"/>
                <w:lang w:val="en-US" w:eastAsia="zh-CN"/>
              </w:rPr>
              <w:t>2</w:t>
            </w:r>
            <w:r>
              <w:rPr>
                <w:rFonts w:hint="default"/>
                <w:lang w:val="en-US" w:eastAsia="zh-CN"/>
              </w:rPr>
              <w:t>▪a)</w:t>
            </w:r>
          </w:p>
        </w:tc>
        <w:tc>
          <w:tcPr>
            <w:tcW w:w="3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06C6BB">
            <w:pPr>
              <w:pStyle w:val="34"/>
              <w:bidi w:val="0"/>
              <w:rPr>
                <w:rFonts w:hint="eastAsia"/>
              </w:rPr>
            </w:pPr>
          </w:p>
        </w:tc>
        <w:tc>
          <w:tcPr>
            <w:tcW w:w="4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2EC90">
            <w:pPr>
              <w:pStyle w:val="34"/>
              <w:bidi w:val="0"/>
              <w:rPr>
                <w:rFonts w:hint="default"/>
              </w:rPr>
            </w:pPr>
            <w:r>
              <w:rPr>
                <w:rFonts w:hint="default"/>
                <w:lang w:val="en-US" w:eastAsia="zh-CN"/>
              </w:rPr>
              <w:t>t/(km</w:t>
            </w:r>
            <w:r>
              <w:rPr>
                <w:rFonts w:hint="default"/>
                <w:vertAlign w:val="superscript"/>
                <w:lang w:val="en-US" w:eastAsia="zh-CN"/>
              </w:rPr>
              <w:t>2</w:t>
            </w:r>
            <w:r>
              <w:rPr>
                <w:rFonts w:hint="default"/>
                <w:lang w:val="en-US" w:eastAsia="zh-CN"/>
              </w:rPr>
              <w:t>▪a)</w:t>
            </w: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CCAFB2C">
            <w:pPr>
              <w:pStyle w:val="34"/>
              <w:bidi w:val="0"/>
              <w:rPr>
                <w:rFonts w:hint="eastAsia"/>
              </w:rPr>
            </w:pPr>
          </w:p>
        </w:tc>
        <w:tc>
          <w:tcPr>
            <w:tcW w:w="631"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7C2BA4">
            <w:pPr>
              <w:pStyle w:val="34"/>
              <w:bidi w:val="0"/>
              <w:rPr>
                <w:rFonts w:hint="eastAsia"/>
              </w:rPr>
            </w:pPr>
          </w:p>
        </w:tc>
      </w:tr>
      <w:tr w14:paraId="7AF1C4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5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54BFDE6">
            <w:pPr>
              <w:pStyle w:val="34"/>
              <w:bidi w:val="0"/>
              <w:rPr>
                <w:rFonts w:hint="eastAsia"/>
              </w:rPr>
            </w:pPr>
            <w:r>
              <w:rPr>
                <w:rFonts w:hint="eastAsia"/>
                <w:lang w:val="en-US" w:eastAsia="zh-CN"/>
              </w:rPr>
              <w:t>施工期</w:t>
            </w:r>
          </w:p>
        </w:tc>
        <w:tc>
          <w:tcPr>
            <w:tcW w:w="647" w:type="pct"/>
            <w:tcBorders>
              <w:top w:val="single" w:color="000000" w:sz="4" w:space="0"/>
              <w:left w:val="single" w:color="000000" w:sz="4" w:space="0"/>
              <w:bottom w:val="single" w:color="000000" w:sz="4" w:space="0"/>
              <w:right w:val="single" w:color="000000" w:sz="4" w:space="0"/>
            </w:tcBorders>
            <w:shd w:val="clear" w:color="auto" w:fill="auto"/>
            <w:vAlign w:val="top"/>
          </w:tcPr>
          <w:p w14:paraId="2D2DCDFD">
            <w:pPr>
              <w:pStyle w:val="34"/>
              <w:bidi w:val="0"/>
              <w:rPr>
                <w:rFonts w:hint="eastAsia"/>
              </w:rPr>
            </w:pPr>
            <w:r>
              <w:rPr>
                <w:rFonts w:hint="eastAsia"/>
                <w:lang w:val="en-US" w:eastAsia="zh-CN"/>
              </w:rPr>
              <w:t>建构筑物区</w:t>
            </w:r>
          </w:p>
        </w:tc>
        <w:tc>
          <w:tcPr>
            <w:tcW w:w="5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72D535">
            <w:pPr>
              <w:pStyle w:val="34"/>
              <w:bidi w:val="0"/>
              <w:rPr>
                <w:rFonts w:hint="default"/>
              </w:rPr>
            </w:pPr>
            <w:r>
              <w:rPr>
                <w:rFonts w:hint="default"/>
                <w:lang w:val="en-US" w:eastAsia="zh-CN"/>
              </w:rPr>
              <w:t>0.5</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AE1B27">
            <w:pPr>
              <w:pStyle w:val="34"/>
              <w:bidi w:val="0"/>
              <w:rPr>
                <w:rFonts w:hint="default"/>
              </w:rPr>
            </w:pPr>
            <w:r>
              <w:rPr>
                <w:rFonts w:hint="default"/>
                <w:lang w:val="en-US" w:eastAsia="zh-CN"/>
              </w:rPr>
              <w:t>1.55</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FE862">
            <w:pPr>
              <w:pStyle w:val="34"/>
              <w:bidi w:val="0"/>
              <w:rPr>
                <w:rFonts w:hint="default"/>
              </w:rPr>
            </w:pPr>
            <w:r>
              <w:rPr>
                <w:rFonts w:hint="default"/>
                <w:lang w:val="en-US" w:eastAsia="zh-CN"/>
              </w:rPr>
              <w:t>300</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30C74">
            <w:pPr>
              <w:pStyle w:val="34"/>
              <w:bidi w:val="0"/>
              <w:rPr>
                <w:rFonts w:hint="default"/>
              </w:rPr>
            </w:pPr>
            <w:r>
              <w:rPr>
                <w:rFonts w:hint="default"/>
                <w:lang w:val="en-US" w:eastAsia="zh-CN"/>
              </w:rPr>
              <w:t xml:space="preserve">2.33 </w:t>
            </w:r>
          </w:p>
        </w:tc>
        <w:tc>
          <w:tcPr>
            <w:tcW w:w="4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06406">
            <w:pPr>
              <w:pStyle w:val="34"/>
              <w:bidi w:val="0"/>
              <w:rPr>
                <w:rFonts w:hint="default"/>
              </w:rPr>
            </w:pPr>
            <w:r>
              <w:rPr>
                <w:rFonts w:hint="default"/>
                <w:lang w:val="en-US" w:eastAsia="zh-CN"/>
              </w:rPr>
              <w:t>3100</w:t>
            </w:r>
          </w:p>
        </w:tc>
        <w:tc>
          <w:tcPr>
            <w:tcW w:w="5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5C66C">
            <w:pPr>
              <w:pStyle w:val="34"/>
              <w:bidi w:val="0"/>
              <w:rPr>
                <w:rFonts w:hint="default"/>
              </w:rPr>
            </w:pPr>
            <w:r>
              <w:rPr>
                <w:rFonts w:hint="default"/>
                <w:lang w:val="en-US" w:eastAsia="zh-CN"/>
              </w:rPr>
              <w:t xml:space="preserve">24.03 </w:t>
            </w:r>
          </w:p>
        </w:tc>
        <w:tc>
          <w:tcPr>
            <w:tcW w:w="6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62CC0">
            <w:pPr>
              <w:pStyle w:val="34"/>
              <w:bidi w:val="0"/>
              <w:rPr>
                <w:rFonts w:hint="default"/>
                <w:lang w:val="en-US"/>
              </w:rPr>
            </w:pPr>
            <w:r>
              <w:rPr>
                <w:rFonts w:hint="default"/>
                <w:lang w:val="en-US" w:eastAsia="zh-CN"/>
              </w:rPr>
              <w:t>21.7</w:t>
            </w:r>
            <w:r>
              <w:rPr>
                <w:rFonts w:hint="eastAsia"/>
                <w:lang w:val="en-US" w:eastAsia="zh-CN"/>
              </w:rPr>
              <w:t>0</w:t>
            </w:r>
          </w:p>
        </w:tc>
      </w:tr>
      <w:tr w14:paraId="1BB6B4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D4BF10">
            <w:pPr>
              <w:pStyle w:val="34"/>
              <w:bidi w:val="0"/>
              <w:rPr>
                <w:rFonts w:hint="eastAsia"/>
              </w:rPr>
            </w:pPr>
          </w:p>
        </w:tc>
        <w:tc>
          <w:tcPr>
            <w:tcW w:w="647" w:type="pct"/>
            <w:tcBorders>
              <w:top w:val="single" w:color="000000" w:sz="4" w:space="0"/>
              <w:left w:val="single" w:color="000000" w:sz="4" w:space="0"/>
              <w:bottom w:val="single" w:color="000000" w:sz="4" w:space="0"/>
              <w:right w:val="single" w:color="000000" w:sz="4" w:space="0"/>
            </w:tcBorders>
            <w:shd w:val="clear" w:color="auto" w:fill="auto"/>
            <w:vAlign w:val="top"/>
          </w:tcPr>
          <w:p w14:paraId="18D71B59">
            <w:pPr>
              <w:pStyle w:val="34"/>
              <w:bidi w:val="0"/>
              <w:rPr>
                <w:rFonts w:hint="eastAsia"/>
              </w:rPr>
            </w:pPr>
            <w:r>
              <w:rPr>
                <w:rFonts w:hint="eastAsia"/>
                <w:lang w:val="en-US" w:eastAsia="zh-CN"/>
              </w:rPr>
              <w:t>道路硬化区</w:t>
            </w:r>
          </w:p>
        </w:tc>
        <w:tc>
          <w:tcPr>
            <w:tcW w:w="5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A932D1">
            <w:pPr>
              <w:pStyle w:val="34"/>
              <w:bidi w:val="0"/>
              <w:rPr>
                <w:rFonts w:hint="default"/>
              </w:rPr>
            </w:pPr>
            <w:r>
              <w:rPr>
                <w:rFonts w:hint="default"/>
                <w:lang w:val="en-US" w:eastAsia="zh-CN"/>
              </w:rPr>
              <w:t>0.5</w:t>
            </w: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86021">
            <w:pPr>
              <w:pStyle w:val="34"/>
              <w:bidi w:val="0"/>
              <w:rPr>
                <w:rFonts w:hint="default"/>
              </w:rPr>
            </w:pPr>
            <w:r>
              <w:rPr>
                <w:rFonts w:hint="default"/>
                <w:lang w:val="en-US" w:eastAsia="zh-CN"/>
              </w:rPr>
              <w:t>2.11</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84B77C">
            <w:pPr>
              <w:pStyle w:val="34"/>
              <w:bidi w:val="0"/>
              <w:rPr>
                <w:rFonts w:hint="default"/>
              </w:rPr>
            </w:pPr>
            <w:r>
              <w:rPr>
                <w:rFonts w:hint="default"/>
                <w:lang w:val="en-US" w:eastAsia="zh-CN"/>
              </w:rPr>
              <w:t>300</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F6CE7">
            <w:pPr>
              <w:pStyle w:val="34"/>
              <w:bidi w:val="0"/>
              <w:rPr>
                <w:rFonts w:hint="default"/>
              </w:rPr>
            </w:pPr>
            <w:r>
              <w:rPr>
                <w:rFonts w:hint="default"/>
                <w:lang w:val="en-US" w:eastAsia="zh-CN"/>
              </w:rPr>
              <w:t xml:space="preserve">3.17 </w:t>
            </w:r>
          </w:p>
        </w:tc>
        <w:tc>
          <w:tcPr>
            <w:tcW w:w="4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9AD01">
            <w:pPr>
              <w:pStyle w:val="34"/>
              <w:bidi w:val="0"/>
              <w:rPr>
                <w:rFonts w:hint="default"/>
              </w:rPr>
            </w:pPr>
            <w:r>
              <w:rPr>
                <w:rFonts w:hint="default"/>
                <w:lang w:val="en-US" w:eastAsia="zh-CN"/>
              </w:rPr>
              <w:t>2900</w:t>
            </w:r>
          </w:p>
        </w:tc>
        <w:tc>
          <w:tcPr>
            <w:tcW w:w="5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6E1D8">
            <w:pPr>
              <w:pStyle w:val="34"/>
              <w:bidi w:val="0"/>
              <w:rPr>
                <w:rFonts w:hint="default"/>
              </w:rPr>
            </w:pPr>
            <w:r>
              <w:rPr>
                <w:rFonts w:hint="default"/>
                <w:lang w:val="en-US" w:eastAsia="zh-CN"/>
              </w:rPr>
              <w:t xml:space="preserve">30.60 </w:t>
            </w:r>
          </w:p>
        </w:tc>
        <w:tc>
          <w:tcPr>
            <w:tcW w:w="6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C4E85">
            <w:pPr>
              <w:pStyle w:val="34"/>
              <w:bidi w:val="0"/>
              <w:rPr>
                <w:rFonts w:hint="default"/>
              </w:rPr>
            </w:pPr>
            <w:r>
              <w:rPr>
                <w:rFonts w:hint="default"/>
                <w:lang w:val="en-US" w:eastAsia="zh-CN"/>
              </w:rPr>
              <w:t>27.43</w:t>
            </w:r>
          </w:p>
        </w:tc>
      </w:tr>
      <w:tr w14:paraId="661DB4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56B4AF">
            <w:pPr>
              <w:pStyle w:val="34"/>
              <w:bidi w:val="0"/>
              <w:rPr>
                <w:rFonts w:hint="eastAsia"/>
              </w:rPr>
            </w:pPr>
          </w:p>
        </w:tc>
        <w:tc>
          <w:tcPr>
            <w:tcW w:w="64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4004B5">
            <w:pPr>
              <w:pStyle w:val="34"/>
              <w:bidi w:val="0"/>
              <w:rPr>
                <w:rFonts w:hint="eastAsia"/>
              </w:rPr>
            </w:pPr>
            <w:r>
              <w:rPr>
                <w:rFonts w:hint="eastAsia"/>
                <w:lang w:val="en-US" w:eastAsia="zh-CN"/>
              </w:rPr>
              <w:t>合计</w:t>
            </w:r>
          </w:p>
        </w:tc>
        <w:tc>
          <w:tcPr>
            <w:tcW w:w="5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04CA1">
            <w:pPr>
              <w:pStyle w:val="34"/>
              <w:bidi w:val="0"/>
              <w:rPr>
                <w:rFonts w:hint="default"/>
              </w:rPr>
            </w:pPr>
          </w:p>
        </w:tc>
        <w:tc>
          <w:tcPr>
            <w:tcW w:w="7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CE361">
            <w:pPr>
              <w:pStyle w:val="34"/>
              <w:bidi w:val="0"/>
              <w:rPr>
                <w:rFonts w:hint="default"/>
              </w:rPr>
            </w:pPr>
            <w:r>
              <w:rPr>
                <w:rFonts w:hint="default"/>
                <w:lang w:val="en-US" w:eastAsia="zh-CN"/>
              </w:rPr>
              <w:t>3.66</w:t>
            </w:r>
          </w:p>
        </w:tc>
        <w:tc>
          <w:tcPr>
            <w:tcW w:w="4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B20906">
            <w:pPr>
              <w:pStyle w:val="34"/>
              <w:bidi w:val="0"/>
              <w:rPr>
                <w:rFonts w:hint="default"/>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DF2EA2">
            <w:pPr>
              <w:pStyle w:val="34"/>
              <w:bidi w:val="0"/>
              <w:rPr>
                <w:rFonts w:hint="default"/>
              </w:rPr>
            </w:pPr>
            <w:r>
              <w:rPr>
                <w:rFonts w:hint="default"/>
                <w:lang w:val="en-US" w:eastAsia="zh-CN"/>
              </w:rPr>
              <w:t xml:space="preserve">5.50 </w:t>
            </w:r>
          </w:p>
        </w:tc>
        <w:tc>
          <w:tcPr>
            <w:tcW w:w="48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DAD8E">
            <w:pPr>
              <w:pStyle w:val="34"/>
              <w:bidi w:val="0"/>
              <w:rPr>
                <w:rFonts w:hint="default"/>
              </w:rPr>
            </w:pPr>
          </w:p>
        </w:tc>
        <w:tc>
          <w:tcPr>
            <w:tcW w:w="55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EE353">
            <w:pPr>
              <w:pStyle w:val="34"/>
              <w:bidi w:val="0"/>
              <w:rPr>
                <w:rFonts w:hint="default"/>
              </w:rPr>
            </w:pPr>
            <w:r>
              <w:rPr>
                <w:rFonts w:hint="default"/>
                <w:lang w:val="en-US" w:eastAsia="zh-CN"/>
              </w:rPr>
              <w:t xml:space="preserve">54.63 </w:t>
            </w:r>
          </w:p>
        </w:tc>
        <w:tc>
          <w:tcPr>
            <w:tcW w:w="6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9779C">
            <w:pPr>
              <w:pStyle w:val="34"/>
              <w:bidi w:val="0"/>
              <w:rPr>
                <w:rFonts w:hint="default"/>
              </w:rPr>
            </w:pPr>
            <w:r>
              <w:rPr>
                <w:rFonts w:hint="default"/>
                <w:lang w:val="en-US" w:eastAsia="zh-CN"/>
              </w:rPr>
              <w:t>49.13</w:t>
            </w:r>
          </w:p>
        </w:tc>
      </w:tr>
    </w:tbl>
    <w:p w14:paraId="0B379C86">
      <w:pPr>
        <w:bidi w:val="0"/>
        <w:rPr>
          <w:rFonts w:hint="eastAsia"/>
          <w:color w:val="auto"/>
        </w:rPr>
      </w:pPr>
      <w:r>
        <w:rPr>
          <w:rFonts w:hint="eastAsia"/>
          <w:color w:val="auto"/>
          <w:lang w:val="en-US" w:eastAsia="zh-CN"/>
        </w:rPr>
        <w:t>综上所述</w:t>
      </w:r>
      <w:r>
        <w:rPr>
          <w:rFonts w:hint="eastAsia"/>
          <w:color w:val="auto"/>
        </w:rPr>
        <w:t>，</w:t>
      </w:r>
      <w:r>
        <w:rPr>
          <w:rFonts w:hint="eastAsia"/>
          <w:color w:val="auto"/>
          <w:lang w:val="en-US" w:eastAsia="zh-CN"/>
        </w:rPr>
        <w:t>本项目从开工建设至施工期结束，</w:t>
      </w:r>
      <w:r>
        <w:rPr>
          <w:rFonts w:hint="default"/>
          <w:color w:val="auto"/>
        </w:rPr>
        <w:t>在不采取水土保持措施的情况下</w:t>
      </w:r>
      <w:r>
        <w:rPr>
          <w:rFonts w:hint="eastAsia"/>
          <w:color w:val="auto"/>
        </w:rPr>
        <w:t>，</w:t>
      </w:r>
      <w:r>
        <w:rPr>
          <w:rFonts w:hint="eastAsia"/>
          <w:color w:val="auto"/>
          <w:lang w:val="en-US" w:eastAsia="zh-CN"/>
        </w:rPr>
        <w:t>可能</w:t>
      </w:r>
      <w:r>
        <w:rPr>
          <w:rFonts w:hint="eastAsia"/>
          <w:color w:val="auto"/>
        </w:rPr>
        <w:t>产生水土流失总量</w:t>
      </w:r>
      <w:r>
        <w:rPr>
          <w:rFonts w:hint="eastAsia"/>
          <w:color w:val="auto"/>
          <w:lang w:val="en-US" w:eastAsia="zh-CN"/>
        </w:rPr>
        <w:t>54.63</w:t>
      </w:r>
      <w:r>
        <w:rPr>
          <w:rFonts w:hint="eastAsia"/>
          <w:color w:val="auto"/>
        </w:rPr>
        <w:t>t，其中背景流失量</w:t>
      </w:r>
      <w:r>
        <w:rPr>
          <w:rFonts w:hint="eastAsia"/>
          <w:color w:val="auto"/>
          <w:lang w:val="en-US" w:eastAsia="zh-CN"/>
        </w:rPr>
        <w:t>5.50</w:t>
      </w:r>
      <w:r>
        <w:rPr>
          <w:rFonts w:hint="eastAsia"/>
          <w:color w:val="auto"/>
        </w:rPr>
        <w:t>t，工程建设新增流失量</w:t>
      </w:r>
      <w:r>
        <w:rPr>
          <w:rFonts w:hint="eastAsia"/>
          <w:color w:val="auto"/>
          <w:lang w:val="en-US" w:eastAsia="zh-CN"/>
        </w:rPr>
        <w:t>49.13</w:t>
      </w:r>
      <w:r>
        <w:rPr>
          <w:rFonts w:hint="eastAsia"/>
          <w:color w:val="auto"/>
        </w:rPr>
        <w:t>t。</w:t>
      </w:r>
      <w:r>
        <w:rPr>
          <w:rFonts w:hint="eastAsia"/>
          <w:color w:val="auto"/>
          <w:lang w:val="en-US" w:eastAsia="zh-CN"/>
        </w:rPr>
        <w:t>施工期土壤流失量为54.63t，占总流失量的100%，因此施工期是本项目土壤流失的重点时段。施工期中建构筑物区新增21.70t，占施工期新增总量的44.17%；道路硬化区</w:t>
      </w:r>
      <w:r>
        <w:rPr>
          <w:rFonts w:hint="eastAsia"/>
          <w:color w:val="auto"/>
        </w:rPr>
        <w:t>新增</w:t>
      </w:r>
      <w:r>
        <w:rPr>
          <w:rFonts w:hint="eastAsia"/>
          <w:color w:val="auto"/>
          <w:lang w:val="en-US" w:eastAsia="zh-CN"/>
        </w:rPr>
        <w:t>27.43</w:t>
      </w:r>
      <w:r>
        <w:rPr>
          <w:rFonts w:hint="eastAsia"/>
          <w:color w:val="auto"/>
        </w:rPr>
        <w:t>t，占新增总量的</w:t>
      </w:r>
      <w:r>
        <w:rPr>
          <w:rFonts w:hint="eastAsia"/>
          <w:color w:val="auto"/>
          <w:lang w:val="en-US" w:eastAsia="zh-CN"/>
        </w:rPr>
        <w:t>55.83</w:t>
      </w:r>
      <w:r>
        <w:rPr>
          <w:rFonts w:hint="eastAsia"/>
          <w:color w:val="auto"/>
        </w:rPr>
        <w:t>%</w:t>
      </w:r>
      <w:r>
        <w:rPr>
          <w:rFonts w:hint="eastAsia"/>
          <w:color w:val="auto"/>
          <w:lang w:eastAsia="zh-CN"/>
        </w:rPr>
        <w:t>。</w:t>
      </w:r>
      <w:r>
        <w:rPr>
          <w:rFonts w:hint="eastAsia"/>
          <w:color w:val="auto"/>
        </w:rPr>
        <w:t>从新增水土流失量的分布来看，</w:t>
      </w:r>
      <w:r>
        <w:rPr>
          <w:rFonts w:hint="eastAsia"/>
          <w:color w:val="auto"/>
          <w:lang w:val="en-US" w:eastAsia="zh-CN"/>
        </w:rPr>
        <w:t>道路硬化区、建构筑物区</w:t>
      </w:r>
      <w:r>
        <w:rPr>
          <w:rFonts w:hint="eastAsia"/>
          <w:color w:val="auto"/>
        </w:rPr>
        <w:t>是本方案的水土流失重点防治区域。</w:t>
      </w:r>
    </w:p>
    <w:p w14:paraId="5655E42F">
      <w:pPr>
        <w:pStyle w:val="3"/>
        <w:rPr>
          <w:rFonts w:hint="eastAsia"/>
          <w:color w:val="auto"/>
        </w:rPr>
      </w:pPr>
      <w:bookmarkStart w:id="121" w:name="_Toc20838"/>
      <w:r>
        <w:rPr>
          <w:rFonts w:hint="eastAsia"/>
          <w:color w:val="auto"/>
        </w:rPr>
        <w:t>4.4 水土流失危害分析</w:t>
      </w:r>
      <w:bookmarkEnd w:id="121"/>
    </w:p>
    <w:p w14:paraId="6ACD1B60">
      <w:pPr>
        <w:keepNext w:val="0"/>
        <w:keepLines w:val="0"/>
        <w:pageBreakBefore w:val="0"/>
        <w:widowControl w:val="0"/>
        <w:kinsoku/>
        <w:wordWrap/>
        <w:overflowPunct/>
        <w:topLinePunct w:val="0"/>
        <w:autoSpaceDE/>
        <w:autoSpaceDN/>
        <w:bidi w:val="0"/>
        <w:adjustRightInd/>
        <w:snapToGrid/>
        <w:textAlignment w:val="auto"/>
        <w:rPr>
          <w:color w:val="auto"/>
        </w:rPr>
      </w:pPr>
      <w:r>
        <w:rPr>
          <w:rFonts w:hint="eastAsia"/>
          <w:color w:val="auto"/>
        </w:rPr>
        <w:t>（</w:t>
      </w:r>
      <w:r>
        <w:rPr>
          <w:color w:val="auto"/>
        </w:rPr>
        <w:t>1</w:t>
      </w:r>
      <w:r>
        <w:rPr>
          <w:rFonts w:hint="eastAsia"/>
          <w:color w:val="auto"/>
        </w:rPr>
        <w:t>）水土资源流失，导致土地生产力下降</w:t>
      </w:r>
    </w:p>
    <w:p w14:paraId="4C940E8B">
      <w:pPr>
        <w:bidi w:val="0"/>
        <w:rPr>
          <w:color w:val="auto"/>
        </w:rPr>
      </w:pPr>
      <w:r>
        <w:rPr>
          <w:rFonts w:hint="eastAsia"/>
          <w:color w:val="auto"/>
        </w:rPr>
        <w:t>本项目具有工程占地小但施工扰动程度大</w:t>
      </w:r>
      <w:r>
        <w:rPr>
          <w:rFonts w:hint="eastAsia"/>
          <w:color w:val="auto"/>
          <w:lang w:val="en-US" w:eastAsia="zh-CN"/>
        </w:rPr>
        <w:t>的</w:t>
      </w:r>
      <w:r>
        <w:rPr>
          <w:rFonts w:hint="eastAsia"/>
          <w:color w:val="auto"/>
        </w:rPr>
        <w:t>特点，建筑物基础开挖、场地平整、土方堆放等土石方工程施工将大面积扰动地表，和</w:t>
      </w:r>
      <w:r>
        <w:rPr>
          <w:rFonts w:hint="eastAsia"/>
          <w:color w:val="auto"/>
          <w:lang w:val="en-US" w:eastAsia="zh-CN"/>
        </w:rPr>
        <w:t>影响</w:t>
      </w:r>
      <w:r>
        <w:rPr>
          <w:rFonts w:hint="eastAsia"/>
          <w:color w:val="auto"/>
        </w:rPr>
        <w:t>土壤稳定结构，形成大量裸露边坡、裸露地表等，致使土体疏松，土壤抗蚀性进一步降低，如不加以及时防护，在强降雨作用下极易造成水土流失，致使土层进一步变薄，土壤抗逆性降低，土壤涵养</w:t>
      </w:r>
      <w:r>
        <w:rPr>
          <w:rFonts w:hint="eastAsia"/>
          <w:color w:val="auto"/>
          <w:lang w:eastAsia="zh-CN"/>
        </w:rPr>
        <w:t>水源</w:t>
      </w:r>
      <w:r>
        <w:rPr>
          <w:rFonts w:hint="eastAsia"/>
          <w:color w:val="auto"/>
        </w:rPr>
        <w:t>能力下降，水分丧失，肥力下降，导致土地生产力降低。</w:t>
      </w:r>
    </w:p>
    <w:p w14:paraId="3C008175">
      <w:pPr>
        <w:keepNext w:val="0"/>
        <w:keepLines w:val="0"/>
        <w:pageBreakBefore w:val="0"/>
        <w:widowControl w:val="0"/>
        <w:kinsoku/>
        <w:wordWrap/>
        <w:overflowPunct/>
        <w:topLinePunct w:val="0"/>
        <w:autoSpaceDE/>
        <w:autoSpaceDN/>
        <w:bidi w:val="0"/>
        <w:adjustRightInd/>
        <w:snapToGrid/>
        <w:textAlignment w:val="auto"/>
        <w:rPr>
          <w:color w:val="auto"/>
        </w:rPr>
      </w:pPr>
      <w:r>
        <w:rPr>
          <w:rFonts w:hint="eastAsia"/>
          <w:color w:val="auto"/>
        </w:rPr>
        <w:t>（</w:t>
      </w:r>
      <w:r>
        <w:rPr>
          <w:color w:val="auto"/>
        </w:rPr>
        <w:t>2</w:t>
      </w:r>
      <w:r>
        <w:rPr>
          <w:rFonts w:hint="eastAsia"/>
          <w:color w:val="auto"/>
        </w:rPr>
        <w:t>）影响项目区及周边生产生活环境</w:t>
      </w:r>
    </w:p>
    <w:p w14:paraId="47D9169D">
      <w:pPr>
        <w:bidi w:val="0"/>
        <w:rPr>
          <w:color w:val="auto"/>
        </w:rPr>
      </w:pPr>
      <w:r>
        <w:rPr>
          <w:rFonts w:hint="eastAsia"/>
          <w:color w:val="auto"/>
        </w:rPr>
        <w:t>在工程施工中，将产生大面积开挖裸露面，产生大量的泥沙扩散、水土流失，在影响施工进度的同时将可能对周边生产生活环境造成不良影响。</w:t>
      </w:r>
    </w:p>
    <w:p w14:paraId="7B89DA6D">
      <w:pPr>
        <w:keepNext w:val="0"/>
        <w:keepLines w:val="0"/>
        <w:pageBreakBefore w:val="0"/>
        <w:widowControl w:val="0"/>
        <w:kinsoku/>
        <w:wordWrap/>
        <w:overflowPunct/>
        <w:topLinePunct w:val="0"/>
        <w:autoSpaceDE/>
        <w:autoSpaceDN/>
        <w:bidi w:val="0"/>
        <w:adjustRightInd/>
        <w:snapToGrid/>
        <w:textAlignment w:val="auto"/>
        <w:rPr>
          <w:color w:val="auto"/>
        </w:rPr>
      </w:pPr>
      <w:r>
        <w:rPr>
          <w:rFonts w:hint="eastAsia"/>
          <w:color w:val="auto"/>
        </w:rPr>
        <w:t>（</w:t>
      </w:r>
      <w:r>
        <w:rPr>
          <w:color w:val="auto"/>
        </w:rPr>
        <w:t>3</w:t>
      </w:r>
      <w:r>
        <w:rPr>
          <w:rFonts w:hint="eastAsia"/>
          <w:color w:val="auto"/>
        </w:rPr>
        <w:t>）对周边排水系统造成影响</w:t>
      </w:r>
    </w:p>
    <w:p w14:paraId="47495663">
      <w:pPr>
        <w:bidi w:val="0"/>
        <w:rPr>
          <w:rFonts w:hint="eastAsia"/>
          <w:color w:val="auto"/>
        </w:rPr>
      </w:pPr>
      <w:r>
        <w:rPr>
          <w:rFonts w:hint="eastAsia"/>
          <w:color w:val="auto"/>
        </w:rPr>
        <w:t>在工程施工中，裸露地表表面如不采用防护措施，在降雨作用下泥沙将进入市政排水管网，淤塞市政排水管网，降低城市排洪能力，同时，这些泥沙将进入</w:t>
      </w:r>
      <w:r>
        <w:rPr>
          <w:rFonts w:hint="eastAsia"/>
          <w:color w:val="auto"/>
          <w:lang w:eastAsia="zh-CN"/>
        </w:rPr>
        <w:t>清江河</w:t>
      </w:r>
      <w:r>
        <w:rPr>
          <w:rFonts w:hint="eastAsia"/>
          <w:color w:val="auto"/>
        </w:rPr>
        <w:t>等河流湖泊，对城市水生态环境造成影响。</w:t>
      </w:r>
    </w:p>
    <w:p w14:paraId="614B9FF5">
      <w:pPr>
        <w:pStyle w:val="3"/>
        <w:rPr>
          <w:color w:val="auto"/>
        </w:rPr>
      </w:pPr>
      <w:bookmarkStart w:id="122" w:name="_Toc9637"/>
      <w:r>
        <w:rPr>
          <w:rFonts w:hint="eastAsia"/>
          <w:color w:val="auto"/>
        </w:rPr>
        <w:t>4.5 指导性意见</w:t>
      </w:r>
      <w:bookmarkEnd w:id="122"/>
    </w:p>
    <w:p w14:paraId="7C2FC97C">
      <w:pPr>
        <w:widowControl w:val="0"/>
        <w:ind w:right="7" w:rightChars="3" w:firstLine="480"/>
        <w:rPr>
          <w:rFonts w:hint="eastAsia"/>
          <w:color w:val="auto"/>
          <w:highlight w:val="none"/>
        </w:rPr>
      </w:pPr>
      <w:r>
        <w:rPr>
          <w:rFonts w:hint="eastAsia"/>
          <w:color w:val="auto"/>
          <w:highlight w:val="none"/>
        </w:rPr>
        <w:t>综合上述分析，本方案将</w:t>
      </w:r>
      <w:r>
        <w:rPr>
          <w:rFonts w:hint="eastAsia"/>
          <w:color w:val="auto"/>
          <w:highlight w:val="none"/>
          <w:lang w:val="en-US" w:eastAsia="zh-CN"/>
        </w:rPr>
        <w:t>道路硬化区、建构筑物区</w:t>
      </w:r>
      <w:r>
        <w:rPr>
          <w:rFonts w:hint="eastAsia"/>
          <w:color w:val="auto"/>
          <w:highlight w:val="none"/>
        </w:rPr>
        <w:t>作为水土流失重点防治区域，其余各分区也须综合采取各种防护措施控制水土流失。为保证水土流失防治的时效性，水土保持措施制定和实施必须从工程施工准备期及早开始，以施工期为防治重点，以有效减轻水土流失的发生。</w:t>
      </w:r>
    </w:p>
    <w:p w14:paraId="4274E2F5">
      <w:pPr>
        <w:widowControl w:val="0"/>
        <w:ind w:right="7" w:rightChars="3" w:firstLine="480"/>
        <w:rPr>
          <w:rFonts w:hint="eastAsia"/>
          <w:color w:val="auto"/>
          <w:highlight w:val="none"/>
        </w:rPr>
      </w:pPr>
      <w:r>
        <w:rPr>
          <w:rFonts w:hint="eastAsia"/>
          <w:color w:val="auto"/>
          <w:highlight w:val="none"/>
        </w:rPr>
        <w:t>根据《中华人民共和国水土保持法》规定，为控制建设期新增水土流失，保护生态环境，同时保障工程施工、运行安全，对本工程进行水土保持综合治理是必要的。因此，本方案将在明确水土流失防治责任范围的前提下，根据工程不同施工区域特点和水土流失</w:t>
      </w:r>
      <w:r>
        <w:rPr>
          <w:rFonts w:hint="eastAsia"/>
          <w:color w:val="auto"/>
          <w:highlight w:val="none"/>
          <w:lang w:eastAsia="zh-CN"/>
        </w:rPr>
        <w:t>预测</w:t>
      </w:r>
      <w:r>
        <w:rPr>
          <w:rFonts w:hint="eastAsia"/>
          <w:color w:val="auto"/>
          <w:highlight w:val="none"/>
        </w:rPr>
        <w:t>结果，在工程建设的同时对各分区采取相应的水土保持工程措施、临时措施，防治工程建设造成的水土流失，主要包括：</w:t>
      </w:r>
    </w:p>
    <w:p w14:paraId="5C2CF3B6">
      <w:pPr>
        <w:widowControl w:val="0"/>
        <w:numPr>
          <w:ilvl w:val="0"/>
          <w:numId w:val="11"/>
        </w:numPr>
        <w:ind w:right="7" w:rightChars="3" w:firstLine="480"/>
        <w:rPr>
          <w:rFonts w:hint="eastAsia"/>
          <w:color w:val="auto"/>
          <w:highlight w:val="none"/>
        </w:rPr>
      </w:pPr>
      <w:r>
        <w:rPr>
          <w:rFonts w:hint="eastAsia"/>
          <w:color w:val="auto"/>
          <w:highlight w:val="none"/>
        </w:rPr>
        <w:t>水土保持的重点是</w:t>
      </w:r>
      <w:r>
        <w:rPr>
          <w:rFonts w:hint="eastAsia"/>
          <w:color w:val="auto"/>
          <w:highlight w:val="none"/>
          <w:lang w:eastAsia="zh-CN"/>
        </w:rPr>
        <w:t>做好</w:t>
      </w:r>
      <w:r>
        <w:rPr>
          <w:rFonts w:hint="eastAsia"/>
          <w:color w:val="auto"/>
          <w:highlight w:val="none"/>
          <w:lang w:val="en-US" w:eastAsia="zh-CN"/>
        </w:rPr>
        <w:t>施工作业面</w:t>
      </w:r>
      <w:r>
        <w:rPr>
          <w:rFonts w:hint="eastAsia"/>
          <w:color w:val="auto"/>
          <w:highlight w:val="none"/>
        </w:rPr>
        <w:t>的防护工作，</w:t>
      </w:r>
      <w:r>
        <w:rPr>
          <w:rFonts w:hint="eastAsia"/>
          <w:color w:val="auto"/>
          <w:highlight w:val="none"/>
          <w:lang w:val="en-US" w:eastAsia="zh-CN"/>
        </w:rPr>
        <w:t>对裸露地表及时进行遮盖，</w:t>
      </w:r>
      <w:r>
        <w:rPr>
          <w:rFonts w:hint="eastAsia"/>
          <w:color w:val="auto"/>
          <w:highlight w:val="none"/>
        </w:rPr>
        <w:t>观测水土流失情况和各种水保措施的实施效果。</w:t>
      </w:r>
    </w:p>
    <w:p w14:paraId="15567B3F">
      <w:pPr>
        <w:ind w:firstLine="480"/>
        <w:rPr>
          <w:color w:val="auto"/>
        </w:rPr>
        <w:sectPr>
          <w:headerReference r:id="rId16" w:type="default"/>
          <w:pgSz w:w="11906" w:h="16838"/>
          <w:pgMar w:top="1417" w:right="1417" w:bottom="1417" w:left="1417" w:header="1134" w:footer="1134" w:gutter="0"/>
          <w:pgBorders>
            <w:top w:val="none" w:sz="0" w:space="0"/>
            <w:left w:val="none" w:sz="0" w:space="0"/>
            <w:bottom w:val="none" w:sz="0" w:space="0"/>
            <w:right w:val="none" w:sz="0" w:space="0"/>
          </w:pgBorders>
          <w:pgNumType w:fmt="decimal"/>
          <w:cols w:space="425" w:num="1"/>
          <w:docGrid w:type="lines" w:linePitch="312" w:charSpace="0"/>
        </w:sectPr>
      </w:pPr>
      <w:r>
        <w:rPr>
          <w:rFonts w:hint="eastAsia"/>
          <w:color w:val="auto"/>
          <w:highlight w:val="none"/>
        </w:rPr>
        <w:t>（2）</w:t>
      </w:r>
      <w:r>
        <w:rPr>
          <w:rFonts w:hint="eastAsia"/>
          <w:color w:val="auto"/>
          <w:highlight w:val="none"/>
          <w:lang w:val="en-US" w:eastAsia="zh-CN"/>
        </w:rPr>
        <w:t>施工过程中需加强施工时序安排，根据实际情况优化土石调配，尽可能减少施工过程中的水土流失</w:t>
      </w:r>
      <w:r>
        <w:rPr>
          <w:color w:val="auto"/>
        </w:rPr>
        <w:t>。</w:t>
      </w:r>
    </w:p>
    <w:p w14:paraId="2A91A149">
      <w:pPr>
        <w:pStyle w:val="2"/>
        <w:rPr>
          <w:color w:val="auto"/>
        </w:rPr>
      </w:pPr>
      <w:bookmarkStart w:id="123" w:name="_Toc25093"/>
      <w:r>
        <w:rPr>
          <w:rFonts w:hint="eastAsia"/>
          <w:color w:val="auto"/>
        </w:rPr>
        <w:t>5 水土保持措施</w:t>
      </w:r>
      <w:bookmarkEnd w:id="123"/>
    </w:p>
    <w:p w14:paraId="77D3413B">
      <w:pPr>
        <w:pStyle w:val="3"/>
        <w:spacing w:line="240" w:lineRule="auto"/>
        <w:rPr>
          <w:color w:val="auto"/>
        </w:rPr>
      </w:pPr>
      <w:bookmarkStart w:id="124" w:name="_Toc9723"/>
      <w:r>
        <w:rPr>
          <w:rFonts w:hint="eastAsia"/>
          <w:color w:val="auto"/>
        </w:rPr>
        <w:t>5.1防治区划分</w:t>
      </w:r>
      <w:bookmarkEnd w:id="124"/>
    </w:p>
    <w:p w14:paraId="6E3A8419">
      <w:pPr>
        <w:pStyle w:val="5"/>
        <w:bidi w:val="0"/>
        <w:rPr>
          <w:color w:val="auto"/>
        </w:rPr>
      </w:pPr>
      <w:r>
        <w:rPr>
          <w:rFonts w:hint="eastAsia"/>
          <w:color w:val="auto"/>
        </w:rPr>
        <w:t>5.1.1防治分区的原则</w:t>
      </w:r>
    </w:p>
    <w:p w14:paraId="2BA6A50D">
      <w:pPr>
        <w:numPr>
          <w:ilvl w:val="0"/>
          <w:numId w:val="12"/>
        </w:numPr>
        <w:ind w:left="0" w:firstLine="480"/>
        <w:rPr>
          <w:color w:val="auto"/>
        </w:rPr>
      </w:pPr>
      <w:r>
        <w:rPr>
          <w:rFonts w:hint="eastAsia"/>
          <w:color w:val="auto"/>
        </w:rPr>
        <w:t>分区的依据</w:t>
      </w:r>
    </w:p>
    <w:p w14:paraId="611A1507">
      <w:pPr>
        <w:ind w:firstLine="480"/>
        <w:rPr>
          <w:color w:val="auto"/>
        </w:rPr>
      </w:pPr>
      <w:r>
        <w:rPr>
          <w:rFonts w:hint="eastAsia"/>
          <w:color w:val="auto"/>
        </w:rPr>
        <w:t>依据主体工程布局范围的地貌特征、施工扰动特点、建设时序、水土流失影响进行水土流失防治分区。</w:t>
      </w:r>
    </w:p>
    <w:p w14:paraId="5B5BD82E">
      <w:pPr>
        <w:numPr>
          <w:ilvl w:val="0"/>
          <w:numId w:val="12"/>
        </w:numPr>
        <w:ind w:left="0" w:firstLine="480"/>
        <w:rPr>
          <w:color w:val="auto"/>
        </w:rPr>
      </w:pPr>
      <w:r>
        <w:rPr>
          <w:rFonts w:hint="eastAsia"/>
          <w:color w:val="auto"/>
        </w:rPr>
        <w:t>分区的原则</w:t>
      </w:r>
    </w:p>
    <w:p w14:paraId="143DCCDF">
      <w:pPr>
        <w:numPr>
          <w:ilvl w:val="0"/>
          <w:numId w:val="13"/>
        </w:numPr>
        <w:ind w:firstLine="480"/>
        <w:rPr>
          <w:color w:val="auto"/>
        </w:rPr>
      </w:pPr>
      <w:r>
        <w:rPr>
          <w:rFonts w:hint="eastAsia"/>
          <w:color w:val="auto"/>
        </w:rPr>
        <w:t>各防治区之间具有明显的差异性；</w:t>
      </w:r>
    </w:p>
    <w:p w14:paraId="3BAA5909">
      <w:pPr>
        <w:numPr>
          <w:ilvl w:val="0"/>
          <w:numId w:val="13"/>
        </w:numPr>
        <w:ind w:firstLine="480"/>
        <w:rPr>
          <w:color w:val="auto"/>
        </w:rPr>
      </w:pPr>
      <w:r>
        <w:rPr>
          <w:rFonts w:hint="eastAsia"/>
          <w:color w:val="auto"/>
        </w:rPr>
        <w:t>相同分区内地貌类型特征相似、施工扰动特点相近、主导因子相似；</w:t>
      </w:r>
    </w:p>
    <w:p w14:paraId="1A3F906A">
      <w:pPr>
        <w:numPr>
          <w:ilvl w:val="0"/>
          <w:numId w:val="13"/>
        </w:numPr>
        <w:ind w:firstLine="480"/>
        <w:rPr>
          <w:color w:val="auto"/>
        </w:rPr>
      </w:pPr>
      <w:r>
        <w:rPr>
          <w:rFonts w:hint="eastAsia"/>
          <w:color w:val="auto"/>
        </w:rPr>
        <w:t>根据项目的繁简程度和项目区自然情况，防治区可划分为一级或多级；</w:t>
      </w:r>
    </w:p>
    <w:p w14:paraId="5B6ECB39">
      <w:pPr>
        <w:numPr>
          <w:ilvl w:val="0"/>
          <w:numId w:val="13"/>
        </w:numPr>
        <w:ind w:firstLine="480"/>
        <w:rPr>
          <w:color w:val="auto"/>
        </w:rPr>
      </w:pPr>
      <w:r>
        <w:rPr>
          <w:rFonts w:hint="eastAsia"/>
          <w:color w:val="auto"/>
        </w:rPr>
        <w:t>一级区应具有控制性、整体性、全局性，线性工程应按土壤侵蚀类型、地形地貌、气候类型等因素划分为一级区、二级区及其以下分区应结合功成布局、项目组成、占地性质和扰动特点进行逐级分区；</w:t>
      </w:r>
    </w:p>
    <w:p w14:paraId="015EE8C0">
      <w:pPr>
        <w:pStyle w:val="14"/>
        <w:numPr>
          <w:ilvl w:val="0"/>
          <w:numId w:val="13"/>
        </w:numPr>
        <w:ind w:firstLine="480"/>
        <w:rPr>
          <w:color w:val="auto"/>
        </w:rPr>
      </w:pPr>
      <w:r>
        <w:rPr>
          <w:rFonts w:hint="eastAsia"/>
          <w:color w:val="auto"/>
        </w:rPr>
        <w:t>各级分区应层次分明，具有关联性和系统性。</w:t>
      </w:r>
    </w:p>
    <w:p w14:paraId="596EA313">
      <w:pPr>
        <w:numPr>
          <w:ilvl w:val="0"/>
          <w:numId w:val="12"/>
        </w:numPr>
        <w:ind w:left="0" w:firstLine="480"/>
        <w:rPr>
          <w:color w:val="auto"/>
        </w:rPr>
      </w:pPr>
      <w:r>
        <w:rPr>
          <w:rFonts w:hint="eastAsia"/>
          <w:color w:val="auto"/>
        </w:rPr>
        <w:t>分区方法</w:t>
      </w:r>
    </w:p>
    <w:p w14:paraId="6268DB06">
      <w:pPr>
        <w:ind w:firstLine="480"/>
        <w:rPr>
          <w:color w:val="auto"/>
        </w:rPr>
      </w:pPr>
      <w:r>
        <w:rPr>
          <w:rFonts w:hint="eastAsia"/>
          <w:color w:val="auto"/>
        </w:rPr>
        <w:t>主要采取实地预测、资料收集与数据分析相结合的方法进行分区。</w:t>
      </w:r>
    </w:p>
    <w:p w14:paraId="33CD99A1">
      <w:pPr>
        <w:pStyle w:val="5"/>
        <w:rPr>
          <w:rFonts w:hint="eastAsia"/>
          <w:color w:val="auto"/>
          <w:lang w:val="en-US" w:eastAsia="zh-CN"/>
        </w:rPr>
      </w:pPr>
      <w:r>
        <w:rPr>
          <w:rFonts w:hint="eastAsia"/>
          <w:color w:val="auto"/>
        </w:rPr>
        <w:t>5.1.2防治分区结果</w:t>
      </w:r>
    </w:p>
    <w:p w14:paraId="14339353">
      <w:pPr>
        <w:pStyle w:val="35"/>
        <w:bidi w:val="0"/>
        <w:rPr>
          <w:rFonts w:eastAsia="仿宋_GB2312"/>
          <w:b/>
          <w:color w:val="auto"/>
        </w:rPr>
      </w:pPr>
      <w:r>
        <w:rPr>
          <w:rFonts w:eastAsia="仿宋_GB2312"/>
          <w:b/>
          <w:color w:val="auto"/>
        </w:rPr>
        <w:t>表5.1-1水土流失防治分区一览表（单位：hm</w:t>
      </w:r>
      <w:r>
        <w:rPr>
          <w:rFonts w:eastAsia="仿宋_GB2312"/>
          <w:b/>
          <w:color w:val="auto"/>
          <w:vertAlign w:val="superscript"/>
        </w:rPr>
        <w:t>2</w:t>
      </w:r>
      <w:r>
        <w:rPr>
          <w:rFonts w:eastAsia="仿宋_GB2312"/>
          <w:b/>
          <w:color w:val="auto"/>
        </w:rPr>
        <w:t>）</w:t>
      </w:r>
    </w:p>
    <w:tbl>
      <w:tblPr>
        <w:tblStyle w:val="25"/>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343"/>
        <w:gridCol w:w="2703"/>
        <w:gridCol w:w="1247"/>
        <w:gridCol w:w="3804"/>
      </w:tblGrid>
      <w:tr w14:paraId="04C6D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0" w:hRule="atLeast"/>
        </w:trPr>
        <w:tc>
          <w:tcPr>
            <w:tcW w:w="738" w:type="pct"/>
            <w:tcBorders>
              <w:tl2br w:val="nil"/>
              <w:tr2bl w:val="nil"/>
            </w:tcBorders>
            <w:noWrap w:val="0"/>
            <w:tcMar>
              <w:top w:w="15" w:type="dxa"/>
              <w:left w:w="15" w:type="dxa"/>
              <w:right w:w="15" w:type="dxa"/>
            </w:tcMar>
            <w:vAlign w:val="center"/>
          </w:tcPr>
          <w:p w14:paraId="7D2CFB53">
            <w:pPr>
              <w:pStyle w:val="34"/>
              <w:bidi w:val="0"/>
            </w:pPr>
            <w:r>
              <w:rPr>
                <w:rFonts w:hint="eastAsia"/>
                <w:lang w:val="en-US" w:eastAsia="zh-CN"/>
              </w:rPr>
              <w:t>防治分区</w:t>
            </w:r>
          </w:p>
        </w:tc>
        <w:tc>
          <w:tcPr>
            <w:tcW w:w="1485" w:type="pct"/>
            <w:tcBorders>
              <w:tl2br w:val="nil"/>
              <w:tr2bl w:val="nil"/>
            </w:tcBorders>
            <w:noWrap w:val="0"/>
            <w:tcMar>
              <w:top w:w="15" w:type="dxa"/>
              <w:left w:w="15" w:type="dxa"/>
              <w:right w:w="15" w:type="dxa"/>
            </w:tcMar>
            <w:vAlign w:val="center"/>
          </w:tcPr>
          <w:p w14:paraId="5C612B28">
            <w:pPr>
              <w:pStyle w:val="34"/>
              <w:bidi w:val="0"/>
              <w:rPr>
                <w:rFonts w:hint="eastAsia"/>
              </w:rPr>
            </w:pPr>
            <w:r>
              <w:rPr>
                <w:rFonts w:hint="eastAsia"/>
                <w:lang w:val="en-US" w:eastAsia="zh-CN"/>
              </w:rPr>
              <w:t>水土流失防治责任范围面积（hm2）</w:t>
            </w:r>
          </w:p>
        </w:tc>
        <w:tc>
          <w:tcPr>
            <w:tcW w:w="685" w:type="pct"/>
            <w:tcBorders>
              <w:tl2br w:val="nil"/>
              <w:tr2bl w:val="nil"/>
            </w:tcBorders>
            <w:noWrap w:val="0"/>
            <w:tcMar>
              <w:top w:w="15" w:type="dxa"/>
              <w:left w:w="15" w:type="dxa"/>
              <w:right w:w="15" w:type="dxa"/>
            </w:tcMar>
            <w:vAlign w:val="center"/>
          </w:tcPr>
          <w:p w14:paraId="7F3F29A7">
            <w:pPr>
              <w:pStyle w:val="34"/>
              <w:bidi w:val="0"/>
              <w:rPr>
                <w:rFonts w:hint="eastAsia"/>
              </w:rPr>
            </w:pPr>
            <w:r>
              <w:rPr>
                <w:rFonts w:hint="eastAsia"/>
                <w:lang w:val="en-US" w:eastAsia="zh-CN"/>
              </w:rPr>
              <w:t>合计（hm2）</w:t>
            </w:r>
          </w:p>
        </w:tc>
        <w:tc>
          <w:tcPr>
            <w:tcW w:w="2090" w:type="pct"/>
            <w:tcBorders>
              <w:tl2br w:val="nil"/>
              <w:tr2bl w:val="nil"/>
            </w:tcBorders>
            <w:noWrap w:val="0"/>
            <w:tcMar>
              <w:top w:w="15" w:type="dxa"/>
              <w:left w:w="15" w:type="dxa"/>
              <w:right w:w="15" w:type="dxa"/>
            </w:tcMar>
            <w:vAlign w:val="center"/>
          </w:tcPr>
          <w:p w14:paraId="694966B3">
            <w:pPr>
              <w:pStyle w:val="34"/>
              <w:bidi w:val="0"/>
              <w:rPr>
                <w:rFonts w:hint="eastAsia"/>
              </w:rPr>
            </w:pPr>
            <w:r>
              <w:rPr>
                <w:rFonts w:hint="eastAsia"/>
                <w:lang w:val="en-US" w:eastAsia="zh-CN"/>
              </w:rPr>
              <w:t>防治对象及范围</w:t>
            </w:r>
          </w:p>
        </w:tc>
      </w:tr>
      <w:tr w14:paraId="7CC69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2" w:hRule="atLeast"/>
        </w:trPr>
        <w:tc>
          <w:tcPr>
            <w:tcW w:w="738" w:type="pct"/>
            <w:tcBorders>
              <w:tl2br w:val="nil"/>
              <w:tr2bl w:val="nil"/>
            </w:tcBorders>
            <w:noWrap/>
            <w:tcMar>
              <w:top w:w="15" w:type="dxa"/>
              <w:left w:w="15" w:type="dxa"/>
              <w:right w:w="15" w:type="dxa"/>
            </w:tcMar>
            <w:vAlign w:val="center"/>
          </w:tcPr>
          <w:p w14:paraId="0C414C55">
            <w:pPr>
              <w:pStyle w:val="34"/>
              <w:bidi w:val="0"/>
              <w:rPr>
                <w:rFonts w:hint="default"/>
                <w:lang w:val="en-US"/>
              </w:rPr>
            </w:pPr>
            <w:r>
              <w:rPr>
                <w:rFonts w:hint="eastAsia"/>
                <w:lang w:val="en-US" w:eastAsia="zh-CN"/>
              </w:rPr>
              <w:t>建构筑物区</w:t>
            </w:r>
          </w:p>
        </w:tc>
        <w:tc>
          <w:tcPr>
            <w:tcW w:w="1485" w:type="pct"/>
            <w:tcBorders>
              <w:tl2br w:val="nil"/>
              <w:tr2bl w:val="nil"/>
            </w:tcBorders>
            <w:noWrap w:val="0"/>
            <w:tcMar>
              <w:top w:w="15" w:type="dxa"/>
              <w:left w:w="15" w:type="dxa"/>
              <w:right w:w="15" w:type="dxa"/>
            </w:tcMar>
            <w:vAlign w:val="center"/>
          </w:tcPr>
          <w:p w14:paraId="33208ADE">
            <w:pPr>
              <w:pStyle w:val="34"/>
              <w:bidi w:val="0"/>
              <w:rPr>
                <w:rFonts w:hint="default"/>
                <w:lang w:val="en-US" w:eastAsia="zh-CN"/>
              </w:rPr>
            </w:pPr>
            <w:r>
              <w:rPr>
                <w:rFonts w:hint="eastAsia"/>
                <w:lang w:val="en-US" w:eastAsia="zh-CN"/>
              </w:rPr>
              <w:t>1.55</w:t>
            </w:r>
          </w:p>
        </w:tc>
        <w:tc>
          <w:tcPr>
            <w:tcW w:w="685" w:type="pct"/>
            <w:tcBorders>
              <w:tl2br w:val="nil"/>
              <w:tr2bl w:val="nil"/>
            </w:tcBorders>
            <w:noWrap w:val="0"/>
            <w:tcMar>
              <w:top w:w="15" w:type="dxa"/>
              <w:left w:w="15" w:type="dxa"/>
              <w:right w:w="15" w:type="dxa"/>
            </w:tcMar>
            <w:vAlign w:val="center"/>
          </w:tcPr>
          <w:p w14:paraId="397184AD">
            <w:pPr>
              <w:pStyle w:val="34"/>
              <w:bidi w:val="0"/>
              <w:rPr>
                <w:rFonts w:hint="default"/>
                <w:lang w:val="en-US" w:eastAsia="zh-CN"/>
              </w:rPr>
            </w:pPr>
            <w:r>
              <w:rPr>
                <w:rFonts w:hint="eastAsia"/>
                <w:lang w:val="en-US" w:eastAsia="zh-CN"/>
              </w:rPr>
              <w:t>1.55</w:t>
            </w:r>
          </w:p>
        </w:tc>
        <w:tc>
          <w:tcPr>
            <w:tcW w:w="2090" w:type="pct"/>
            <w:tcBorders>
              <w:tl2br w:val="nil"/>
              <w:tr2bl w:val="nil"/>
            </w:tcBorders>
            <w:noWrap w:val="0"/>
            <w:tcMar>
              <w:top w:w="15" w:type="dxa"/>
              <w:left w:w="15" w:type="dxa"/>
              <w:right w:w="15" w:type="dxa"/>
            </w:tcMar>
            <w:vAlign w:val="center"/>
          </w:tcPr>
          <w:p w14:paraId="361CEEEF">
            <w:pPr>
              <w:pStyle w:val="34"/>
              <w:bidi w:val="0"/>
              <w:rPr>
                <w:rFonts w:hint="eastAsia"/>
              </w:rPr>
            </w:pPr>
            <w:r>
              <w:rPr>
                <w:rFonts w:hint="eastAsia"/>
                <w:lang w:val="en-US" w:eastAsia="zh-CN"/>
              </w:rPr>
              <w:t>建筑物</w:t>
            </w:r>
          </w:p>
        </w:tc>
      </w:tr>
      <w:tr w14:paraId="396BC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5" w:hRule="atLeast"/>
        </w:trPr>
        <w:tc>
          <w:tcPr>
            <w:tcW w:w="738" w:type="pct"/>
            <w:tcBorders>
              <w:tl2br w:val="nil"/>
              <w:tr2bl w:val="nil"/>
            </w:tcBorders>
            <w:noWrap/>
            <w:tcMar>
              <w:top w:w="15" w:type="dxa"/>
              <w:left w:w="15" w:type="dxa"/>
              <w:right w:w="15" w:type="dxa"/>
            </w:tcMar>
            <w:vAlign w:val="center"/>
          </w:tcPr>
          <w:p w14:paraId="43FEF918">
            <w:pPr>
              <w:pStyle w:val="34"/>
              <w:bidi w:val="0"/>
              <w:rPr>
                <w:rFonts w:hint="default"/>
                <w:lang w:val="en-US" w:eastAsia="zh-CN"/>
              </w:rPr>
            </w:pPr>
            <w:r>
              <w:rPr>
                <w:rFonts w:hint="eastAsia"/>
                <w:lang w:val="en-US" w:eastAsia="zh-CN"/>
              </w:rPr>
              <w:t>道路硬化区</w:t>
            </w:r>
          </w:p>
        </w:tc>
        <w:tc>
          <w:tcPr>
            <w:tcW w:w="1485" w:type="pct"/>
            <w:tcBorders>
              <w:tl2br w:val="nil"/>
              <w:tr2bl w:val="nil"/>
            </w:tcBorders>
            <w:noWrap w:val="0"/>
            <w:tcMar>
              <w:top w:w="15" w:type="dxa"/>
              <w:left w:w="15" w:type="dxa"/>
              <w:right w:w="15" w:type="dxa"/>
            </w:tcMar>
            <w:vAlign w:val="center"/>
          </w:tcPr>
          <w:p w14:paraId="43C9714F">
            <w:pPr>
              <w:pStyle w:val="34"/>
              <w:bidi w:val="0"/>
              <w:rPr>
                <w:rFonts w:hint="default"/>
                <w:lang w:val="en-US" w:eastAsia="zh-CN"/>
              </w:rPr>
            </w:pPr>
            <w:r>
              <w:rPr>
                <w:rFonts w:hint="eastAsia"/>
                <w:lang w:val="en-US" w:eastAsia="zh-CN"/>
              </w:rPr>
              <w:t>2.11</w:t>
            </w:r>
          </w:p>
        </w:tc>
        <w:tc>
          <w:tcPr>
            <w:tcW w:w="685" w:type="pct"/>
            <w:tcBorders>
              <w:tl2br w:val="nil"/>
              <w:tr2bl w:val="nil"/>
            </w:tcBorders>
            <w:noWrap w:val="0"/>
            <w:tcMar>
              <w:top w:w="15" w:type="dxa"/>
              <w:left w:w="15" w:type="dxa"/>
              <w:right w:w="15" w:type="dxa"/>
            </w:tcMar>
            <w:vAlign w:val="center"/>
          </w:tcPr>
          <w:p w14:paraId="3897F180">
            <w:pPr>
              <w:pStyle w:val="34"/>
              <w:bidi w:val="0"/>
              <w:rPr>
                <w:rFonts w:hint="default"/>
                <w:lang w:val="en-US" w:eastAsia="zh-CN"/>
              </w:rPr>
            </w:pPr>
            <w:r>
              <w:rPr>
                <w:rFonts w:hint="eastAsia"/>
                <w:lang w:val="en-US" w:eastAsia="zh-CN"/>
              </w:rPr>
              <w:t>2.11</w:t>
            </w:r>
          </w:p>
        </w:tc>
        <w:tc>
          <w:tcPr>
            <w:tcW w:w="2090" w:type="pct"/>
            <w:tcBorders>
              <w:tl2br w:val="nil"/>
              <w:tr2bl w:val="nil"/>
            </w:tcBorders>
            <w:noWrap w:val="0"/>
            <w:tcMar>
              <w:top w:w="15" w:type="dxa"/>
              <w:left w:w="15" w:type="dxa"/>
              <w:right w:w="15" w:type="dxa"/>
            </w:tcMar>
            <w:vAlign w:val="center"/>
          </w:tcPr>
          <w:p w14:paraId="7B601087">
            <w:pPr>
              <w:pStyle w:val="34"/>
              <w:bidi w:val="0"/>
              <w:rPr>
                <w:rFonts w:hint="default"/>
                <w:lang w:val="en-US" w:eastAsia="zh-CN"/>
              </w:rPr>
            </w:pPr>
            <w:r>
              <w:rPr>
                <w:rFonts w:hint="eastAsia"/>
                <w:lang w:val="en-US" w:eastAsia="zh-CN"/>
              </w:rPr>
              <w:t>硬化、内部道路、施工场地等区域</w:t>
            </w:r>
          </w:p>
        </w:tc>
      </w:tr>
      <w:tr w14:paraId="4D9FB1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5" w:hRule="atLeast"/>
        </w:trPr>
        <w:tc>
          <w:tcPr>
            <w:tcW w:w="738" w:type="pct"/>
            <w:tcBorders>
              <w:tl2br w:val="nil"/>
              <w:tr2bl w:val="nil"/>
            </w:tcBorders>
            <w:noWrap w:val="0"/>
            <w:tcMar>
              <w:top w:w="15" w:type="dxa"/>
              <w:left w:w="15" w:type="dxa"/>
              <w:right w:w="15" w:type="dxa"/>
            </w:tcMar>
            <w:vAlign w:val="center"/>
          </w:tcPr>
          <w:p w14:paraId="1BB820BD">
            <w:pPr>
              <w:pStyle w:val="34"/>
              <w:bidi w:val="0"/>
              <w:rPr>
                <w:rFonts w:hint="eastAsia"/>
              </w:rPr>
            </w:pPr>
            <w:r>
              <w:rPr>
                <w:rFonts w:hint="eastAsia"/>
                <w:lang w:val="en-US" w:eastAsia="zh-CN"/>
              </w:rPr>
              <w:t>合计</w:t>
            </w:r>
          </w:p>
        </w:tc>
        <w:tc>
          <w:tcPr>
            <w:tcW w:w="1485" w:type="pct"/>
            <w:tcBorders>
              <w:tl2br w:val="nil"/>
              <w:tr2bl w:val="nil"/>
            </w:tcBorders>
            <w:noWrap w:val="0"/>
            <w:tcMar>
              <w:top w:w="15" w:type="dxa"/>
              <w:left w:w="15" w:type="dxa"/>
              <w:right w:w="15" w:type="dxa"/>
            </w:tcMar>
            <w:vAlign w:val="center"/>
          </w:tcPr>
          <w:p w14:paraId="45140362">
            <w:pPr>
              <w:pStyle w:val="34"/>
              <w:bidi w:val="0"/>
              <w:rPr>
                <w:rFonts w:hint="default"/>
                <w:lang w:val="en-US" w:eastAsia="zh-CN"/>
              </w:rPr>
            </w:pPr>
            <w:r>
              <w:rPr>
                <w:rFonts w:hint="eastAsia"/>
                <w:lang w:val="en-US" w:eastAsia="zh-CN"/>
              </w:rPr>
              <w:t>3.66</w:t>
            </w:r>
          </w:p>
        </w:tc>
        <w:tc>
          <w:tcPr>
            <w:tcW w:w="685" w:type="pct"/>
            <w:tcBorders>
              <w:tl2br w:val="nil"/>
              <w:tr2bl w:val="nil"/>
            </w:tcBorders>
            <w:noWrap w:val="0"/>
            <w:tcMar>
              <w:top w:w="15" w:type="dxa"/>
              <w:left w:w="15" w:type="dxa"/>
              <w:right w:w="15" w:type="dxa"/>
            </w:tcMar>
            <w:vAlign w:val="center"/>
          </w:tcPr>
          <w:p w14:paraId="61FBBFB4">
            <w:pPr>
              <w:pStyle w:val="34"/>
              <w:bidi w:val="0"/>
              <w:rPr>
                <w:rFonts w:hint="default"/>
                <w:lang w:val="en-US" w:eastAsia="zh-CN"/>
              </w:rPr>
            </w:pPr>
            <w:r>
              <w:rPr>
                <w:rFonts w:hint="eastAsia"/>
                <w:lang w:val="en-US" w:eastAsia="zh-CN"/>
              </w:rPr>
              <w:t>3.66</w:t>
            </w:r>
          </w:p>
        </w:tc>
        <w:tc>
          <w:tcPr>
            <w:tcW w:w="2090" w:type="pct"/>
            <w:tcBorders>
              <w:tl2br w:val="nil"/>
              <w:tr2bl w:val="nil"/>
            </w:tcBorders>
            <w:noWrap w:val="0"/>
            <w:tcMar>
              <w:top w:w="15" w:type="dxa"/>
              <w:left w:w="15" w:type="dxa"/>
              <w:right w:w="15" w:type="dxa"/>
            </w:tcMar>
            <w:vAlign w:val="center"/>
          </w:tcPr>
          <w:p w14:paraId="14255DD1">
            <w:pPr>
              <w:pStyle w:val="34"/>
              <w:bidi w:val="0"/>
              <w:rPr>
                <w:rFonts w:hint="eastAsia"/>
              </w:rPr>
            </w:pPr>
            <w:r>
              <w:rPr>
                <w:rFonts w:hint="eastAsia"/>
                <w:lang w:val="en-US" w:eastAsia="zh-CN"/>
              </w:rPr>
              <w:t>本项目建设扰动范围</w:t>
            </w:r>
          </w:p>
        </w:tc>
      </w:tr>
    </w:tbl>
    <w:p w14:paraId="34FEF036">
      <w:pPr>
        <w:pStyle w:val="3"/>
        <w:bidi w:val="0"/>
        <w:rPr>
          <w:color w:val="auto"/>
        </w:rPr>
      </w:pPr>
      <w:bookmarkStart w:id="125" w:name="_Toc240362722"/>
      <w:bookmarkStart w:id="126" w:name="_Toc445544725"/>
      <w:bookmarkStart w:id="127" w:name="_Toc240275720"/>
      <w:bookmarkStart w:id="128" w:name="_Toc281297781"/>
      <w:bookmarkStart w:id="129" w:name="_Toc485378021"/>
      <w:bookmarkStart w:id="130" w:name="_Toc11063"/>
      <w:bookmarkStart w:id="131" w:name="_Toc5916"/>
      <w:bookmarkStart w:id="132" w:name="_Toc16777"/>
      <w:bookmarkStart w:id="133" w:name="_Toc9773252"/>
      <w:r>
        <w:rPr>
          <w:color w:val="auto"/>
        </w:rPr>
        <w:t>5.2</w:t>
      </w:r>
      <w:bookmarkEnd w:id="125"/>
      <w:bookmarkEnd w:id="126"/>
      <w:bookmarkEnd w:id="127"/>
      <w:bookmarkEnd w:id="128"/>
      <w:bookmarkEnd w:id="129"/>
      <w:r>
        <w:rPr>
          <w:color w:val="auto"/>
        </w:rPr>
        <w:t>措施总体布局</w:t>
      </w:r>
      <w:bookmarkEnd w:id="130"/>
      <w:bookmarkEnd w:id="131"/>
      <w:bookmarkEnd w:id="132"/>
      <w:bookmarkEnd w:id="133"/>
    </w:p>
    <w:p w14:paraId="71C1E41F">
      <w:pPr>
        <w:pStyle w:val="5"/>
        <w:rPr>
          <w:color w:val="auto"/>
        </w:rPr>
      </w:pPr>
      <w:r>
        <w:rPr>
          <w:rFonts w:hint="eastAsia"/>
          <w:color w:val="auto"/>
        </w:rPr>
        <w:t>5.2.1总体布局原则</w:t>
      </w:r>
    </w:p>
    <w:p w14:paraId="4FAD5EBA">
      <w:pPr>
        <w:ind w:firstLine="480"/>
        <w:rPr>
          <w:color w:val="auto"/>
        </w:rPr>
      </w:pPr>
      <w:r>
        <w:rPr>
          <w:rFonts w:hint="eastAsia"/>
          <w:color w:val="auto"/>
        </w:rPr>
        <w:t>本项目水土保持建设以防治新增水土流失为目标，保护生产、生态用地为出发点，促进经济与环境的协调发展。在遵守水土保持法律法规、水土保持技术标准以及环境保护要求等原则的同时，针对项目特点确定措施的布设原则如下：</w:t>
      </w:r>
    </w:p>
    <w:p w14:paraId="6BF5955D">
      <w:pPr>
        <w:ind w:firstLine="480"/>
        <w:rPr>
          <w:color w:val="auto"/>
        </w:rPr>
      </w:pPr>
      <w:r>
        <w:rPr>
          <w:rFonts w:hint="eastAsia"/>
          <w:color w:val="auto"/>
        </w:rPr>
        <w:t>（1）结合工程实际和项目区水土流失现状，因地制宜，因害设防、防治结合、全面布局、科学配置；</w:t>
      </w:r>
    </w:p>
    <w:p w14:paraId="4F76B767">
      <w:pPr>
        <w:ind w:firstLine="480"/>
        <w:rPr>
          <w:color w:val="auto"/>
        </w:rPr>
      </w:pPr>
      <w:r>
        <w:rPr>
          <w:rFonts w:hint="eastAsia"/>
          <w:color w:val="auto"/>
        </w:rPr>
        <w:t>（2）根据各区水土流失防治需要，分析评价主体已设计水保措施是否满足防治要求，在主体已设计水保措施基础上，完善有关防治措施；</w:t>
      </w:r>
    </w:p>
    <w:p w14:paraId="7702C7F2">
      <w:pPr>
        <w:ind w:firstLine="480"/>
        <w:rPr>
          <w:color w:val="auto"/>
        </w:rPr>
      </w:pPr>
      <w:r>
        <w:rPr>
          <w:rFonts w:hint="eastAsia"/>
          <w:color w:val="auto"/>
        </w:rPr>
        <w:t>（3）项目建设过程中应注重生态环境保护，设置临时性防护措施，减少施工工程中造成的人为扰动及产生的废弃土（石、渣）；</w:t>
      </w:r>
    </w:p>
    <w:p w14:paraId="5D2F836C">
      <w:pPr>
        <w:ind w:firstLine="480"/>
        <w:rPr>
          <w:color w:val="auto"/>
        </w:rPr>
      </w:pPr>
      <w:r>
        <w:rPr>
          <w:rFonts w:hint="eastAsia"/>
          <w:color w:val="auto"/>
        </w:rPr>
        <w:t>（4）注重吸收当地水土保持的成功经验，借鉴国内外先进技术；</w:t>
      </w:r>
    </w:p>
    <w:p w14:paraId="5B59F8F0">
      <w:pPr>
        <w:ind w:firstLine="480"/>
        <w:rPr>
          <w:color w:val="auto"/>
        </w:rPr>
      </w:pPr>
      <w:r>
        <w:rPr>
          <w:rFonts w:hint="eastAsia"/>
          <w:color w:val="auto"/>
        </w:rPr>
        <w:t>（5）树立人与自然和谐相处的理念，尊重自然规律，注重与周边景观相协调；</w:t>
      </w:r>
    </w:p>
    <w:p w14:paraId="204C12A7">
      <w:pPr>
        <w:ind w:firstLine="480"/>
        <w:rPr>
          <w:color w:val="auto"/>
        </w:rPr>
      </w:pPr>
      <w:r>
        <w:rPr>
          <w:rFonts w:hint="eastAsia"/>
          <w:color w:val="auto"/>
        </w:rPr>
        <w:t>（6）工程措施、植物措施、临时措施合理配置、统筹兼顾，形成综合的防护体系；</w:t>
      </w:r>
    </w:p>
    <w:p w14:paraId="06A01120">
      <w:pPr>
        <w:ind w:firstLine="480"/>
        <w:rPr>
          <w:color w:val="auto"/>
        </w:rPr>
      </w:pPr>
      <w:r>
        <w:rPr>
          <w:rFonts w:hint="eastAsia"/>
          <w:color w:val="auto"/>
        </w:rPr>
        <w:t>（7）工程措施要尽量选用当地材料，做到技术上可靠、经济上合理；</w:t>
      </w:r>
    </w:p>
    <w:p w14:paraId="496ADDE5">
      <w:pPr>
        <w:ind w:firstLine="480"/>
        <w:rPr>
          <w:color w:val="auto"/>
        </w:rPr>
      </w:pPr>
      <w:r>
        <w:rPr>
          <w:rFonts w:hint="eastAsia"/>
          <w:color w:val="auto"/>
        </w:rPr>
        <w:t>（8）在措施实施进度安排上，实行水土保持“三同时”制度，预防和控制水土流失的发生和发展；</w:t>
      </w:r>
    </w:p>
    <w:p w14:paraId="0249CD6F">
      <w:pPr>
        <w:ind w:firstLine="480"/>
        <w:rPr>
          <w:color w:val="auto"/>
        </w:rPr>
      </w:pPr>
      <w:r>
        <w:rPr>
          <w:rFonts w:hint="eastAsia"/>
          <w:color w:val="auto"/>
        </w:rPr>
        <w:t>（9）为了使本方案与主体工程相协调一致，将主体工程设计中已有具有水土保持功能的措施统一纳入水土保持措施总体布局中。</w:t>
      </w:r>
    </w:p>
    <w:p w14:paraId="2DAC4F40">
      <w:pPr>
        <w:pStyle w:val="5"/>
        <w:rPr>
          <w:rFonts w:hint="eastAsia"/>
          <w:color w:val="auto"/>
        </w:rPr>
      </w:pPr>
      <w:r>
        <w:rPr>
          <w:rFonts w:hint="eastAsia"/>
          <w:color w:val="auto"/>
        </w:rPr>
        <w:t>5.2.2</w:t>
      </w:r>
      <w:r>
        <w:rPr>
          <w:rFonts w:hint="eastAsia"/>
          <w:color w:val="auto"/>
          <w:lang w:val="en-US" w:eastAsia="zh-CN"/>
        </w:rPr>
        <w:t>防治</w:t>
      </w:r>
      <w:r>
        <w:rPr>
          <w:rFonts w:hint="eastAsia"/>
          <w:color w:val="auto"/>
          <w:lang w:eastAsia="zh-CN"/>
        </w:rPr>
        <w:t>措施总体布</w:t>
      </w:r>
      <w:r>
        <w:rPr>
          <w:rFonts w:hint="eastAsia"/>
          <w:color w:val="auto"/>
        </w:rPr>
        <w:t>局</w:t>
      </w:r>
    </w:p>
    <w:p w14:paraId="2B341AAA">
      <w:pPr>
        <w:ind w:firstLine="480"/>
        <w:rPr>
          <w:rFonts w:eastAsia="仿宋_GB2312"/>
          <w:color w:val="auto"/>
        </w:rPr>
      </w:pPr>
      <w:r>
        <w:rPr>
          <w:rFonts w:eastAsia="仿宋_GB2312"/>
          <w:color w:val="auto"/>
        </w:rPr>
        <w:t>本方案通过对主体工程设计中具有水土保持功能工程的评价，结合水土流失防治分区结果，以及水土保持工程的界定，按照“结合实际、因地制宜、因害设防、点、线、面相结合”的原则，确定不同防治分区的防治措施布局，本方案水土流失防治措施总体布局见表5.2-1。</w:t>
      </w:r>
    </w:p>
    <w:p w14:paraId="24661AD9">
      <w:pPr>
        <w:pStyle w:val="34"/>
        <w:bidi w:val="0"/>
      </w:pPr>
      <w:r>
        <w:t>表5.2-1水土流失防治措施一览表</w:t>
      </w:r>
    </w:p>
    <w:tbl>
      <w:tblPr>
        <w:tblStyle w:val="25"/>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481"/>
        <w:gridCol w:w="936"/>
        <w:gridCol w:w="1116"/>
        <w:gridCol w:w="903"/>
        <w:gridCol w:w="1274"/>
        <w:gridCol w:w="1274"/>
        <w:gridCol w:w="1300"/>
      </w:tblGrid>
      <w:tr w14:paraId="35B904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270" w:hRule="atLeast"/>
        </w:trPr>
        <w:tc>
          <w:tcPr>
            <w:tcW w:w="13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10DF4">
            <w:pPr>
              <w:pStyle w:val="34"/>
              <w:bidi w:val="0"/>
            </w:pPr>
            <w:r>
              <w:rPr>
                <w:rFonts w:hint="eastAsia"/>
                <w:lang w:val="en-US" w:eastAsia="zh-CN"/>
              </w:rPr>
              <w:t>项目组成</w:t>
            </w:r>
          </w:p>
        </w:tc>
        <w:tc>
          <w:tcPr>
            <w:tcW w:w="1058"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FA9D3">
            <w:pPr>
              <w:pStyle w:val="34"/>
              <w:bidi w:val="0"/>
              <w:rPr>
                <w:rFonts w:hint="eastAsia"/>
              </w:rPr>
            </w:pPr>
            <w:r>
              <w:rPr>
                <w:rFonts w:hint="eastAsia"/>
                <w:lang w:val="en-US" w:eastAsia="zh-CN"/>
              </w:rPr>
              <w:t>措施类型</w:t>
            </w:r>
          </w:p>
        </w:tc>
        <w:tc>
          <w:tcPr>
            <w:tcW w:w="4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272BF">
            <w:pPr>
              <w:pStyle w:val="34"/>
              <w:bidi w:val="0"/>
              <w:rPr>
                <w:rFonts w:hint="eastAsia"/>
              </w:rPr>
            </w:pPr>
            <w:r>
              <w:rPr>
                <w:rFonts w:hint="eastAsia"/>
                <w:lang w:val="en-US" w:eastAsia="zh-CN"/>
              </w:rPr>
              <w:t>单位</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A2CB2">
            <w:pPr>
              <w:pStyle w:val="34"/>
              <w:bidi w:val="0"/>
              <w:rPr>
                <w:rFonts w:hint="eastAsia"/>
              </w:rPr>
            </w:pPr>
            <w:r>
              <w:rPr>
                <w:rFonts w:hint="eastAsia"/>
                <w:lang w:val="en-US" w:eastAsia="zh-CN"/>
              </w:rPr>
              <w:t>数量</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3DFB0">
            <w:pPr>
              <w:pStyle w:val="34"/>
              <w:bidi w:val="0"/>
              <w:rPr>
                <w:rFonts w:hint="eastAsia"/>
              </w:rPr>
            </w:pPr>
            <w:r>
              <w:rPr>
                <w:rFonts w:hint="eastAsia"/>
                <w:lang w:val="en-US" w:eastAsia="zh-CN"/>
              </w:rPr>
              <w:t>投资属性</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A1904">
            <w:pPr>
              <w:pStyle w:val="34"/>
              <w:bidi w:val="0"/>
              <w:rPr>
                <w:rFonts w:hint="eastAsia"/>
              </w:rPr>
            </w:pPr>
            <w:r>
              <w:rPr>
                <w:rFonts w:hint="eastAsia"/>
                <w:lang w:val="en-US" w:eastAsia="zh-CN"/>
              </w:rPr>
              <w:t>实施情况</w:t>
            </w:r>
          </w:p>
        </w:tc>
      </w:tr>
      <w:tr w14:paraId="0690E6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4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CF8D53">
            <w:pPr>
              <w:pStyle w:val="34"/>
              <w:bidi w:val="0"/>
              <w:rPr>
                <w:rFonts w:hint="eastAsia"/>
              </w:rPr>
            </w:pPr>
            <w:r>
              <w:rPr>
                <w:rFonts w:hint="eastAsia"/>
                <w:lang w:val="en-US" w:eastAsia="zh-CN"/>
              </w:rPr>
              <w:t>建构筑物区</w:t>
            </w:r>
          </w:p>
        </w:tc>
        <w:tc>
          <w:tcPr>
            <w:tcW w:w="50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80810">
            <w:pPr>
              <w:pStyle w:val="34"/>
              <w:bidi w:val="0"/>
              <w:rPr>
                <w:rFonts w:hint="eastAsia"/>
              </w:rPr>
            </w:pPr>
            <w:r>
              <w:rPr>
                <w:rFonts w:hint="eastAsia"/>
                <w:lang w:val="en-US" w:eastAsia="zh-CN"/>
              </w:rPr>
              <w:t>临时措施</w:t>
            </w:r>
          </w:p>
        </w:tc>
        <w:tc>
          <w:tcPr>
            <w:tcW w:w="5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838A39">
            <w:pPr>
              <w:pStyle w:val="34"/>
              <w:bidi w:val="0"/>
              <w:rPr>
                <w:rFonts w:hint="eastAsia"/>
              </w:rPr>
            </w:pPr>
            <w:r>
              <w:rPr>
                <w:rFonts w:hint="eastAsia"/>
                <w:lang w:val="en-US" w:eastAsia="zh-CN"/>
              </w:rPr>
              <w:t>防雨布遮盖</w:t>
            </w:r>
          </w:p>
        </w:tc>
        <w:tc>
          <w:tcPr>
            <w:tcW w:w="4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BC800">
            <w:pPr>
              <w:pStyle w:val="34"/>
              <w:bidi w:val="0"/>
              <w:rPr>
                <w:rFonts w:hint="default"/>
              </w:rPr>
            </w:pPr>
            <w:r>
              <w:rPr>
                <w:rFonts w:hint="default"/>
                <w:lang w:val="en-US" w:eastAsia="zh-CN"/>
              </w:rPr>
              <w:t>m²</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8E1745">
            <w:pPr>
              <w:pStyle w:val="34"/>
              <w:bidi w:val="0"/>
              <w:rPr>
                <w:rFonts w:hint="default"/>
              </w:rPr>
            </w:pPr>
            <w:r>
              <w:rPr>
                <w:rFonts w:hint="default"/>
                <w:lang w:val="en-US" w:eastAsia="zh-CN"/>
              </w:rPr>
              <w:t>15000</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0FBB05">
            <w:pPr>
              <w:pStyle w:val="34"/>
              <w:bidi w:val="0"/>
              <w:rPr>
                <w:rFonts w:hint="eastAsia"/>
              </w:rPr>
            </w:pPr>
            <w:r>
              <w:rPr>
                <w:rFonts w:hint="eastAsia"/>
                <w:lang w:val="en-US" w:eastAsia="zh-CN"/>
              </w:rPr>
              <w:t>方案新增</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CDBA1">
            <w:pPr>
              <w:pStyle w:val="34"/>
              <w:bidi w:val="0"/>
              <w:rPr>
                <w:rFonts w:hint="eastAsia"/>
              </w:rPr>
            </w:pPr>
            <w:r>
              <w:rPr>
                <w:rFonts w:hint="eastAsia"/>
                <w:lang w:val="en-US" w:eastAsia="zh-CN"/>
              </w:rPr>
              <w:t>未实施</w:t>
            </w:r>
          </w:p>
        </w:tc>
      </w:tr>
      <w:tr w14:paraId="55C641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45"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5A2919">
            <w:pPr>
              <w:pStyle w:val="34"/>
              <w:bidi w:val="0"/>
              <w:rPr>
                <w:rFonts w:hint="eastAsia"/>
              </w:rPr>
            </w:pPr>
            <w:r>
              <w:rPr>
                <w:rFonts w:hint="eastAsia"/>
                <w:lang w:val="en-US" w:eastAsia="zh-CN"/>
              </w:rPr>
              <w:t>道路硬化区</w:t>
            </w:r>
          </w:p>
        </w:tc>
        <w:tc>
          <w:tcPr>
            <w:tcW w:w="503"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15C522">
            <w:pPr>
              <w:pStyle w:val="34"/>
              <w:bidi w:val="0"/>
              <w:rPr>
                <w:rFonts w:hint="eastAsia"/>
              </w:rPr>
            </w:pPr>
            <w:r>
              <w:rPr>
                <w:rFonts w:hint="eastAsia"/>
                <w:lang w:val="en-US" w:eastAsia="zh-CN"/>
              </w:rPr>
              <w:t>工程措施</w:t>
            </w:r>
          </w:p>
        </w:tc>
        <w:tc>
          <w:tcPr>
            <w:tcW w:w="5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1E0235">
            <w:pPr>
              <w:pStyle w:val="34"/>
              <w:bidi w:val="0"/>
              <w:rPr>
                <w:rFonts w:hint="eastAsia"/>
              </w:rPr>
            </w:pPr>
            <w:r>
              <w:rPr>
                <w:rFonts w:hint="eastAsia"/>
                <w:lang w:val="en-US" w:eastAsia="zh-CN"/>
              </w:rPr>
              <w:t>雨水管</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A60E9">
            <w:pPr>
              <w:pStyle w:val="34"/>
              <w:bidi w:val="0"/>
              <w:rPr>
                <w:rFonts w:hint="default"/>
              </w:rPr>
            </w:pPr>
            <w:r>
              <w:rPr>
                <w:rFonts w:hint="default"/>
                <w:lang w:val="en-US" w:eastAsia="zh-CN"/>
              </w:rPr>
              <w:t>m</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0485B6">
            <w:pPr>
              <w:pStyle w:val="34"/>
              <w:bidi w:val="0"/>
              <w:rPr>
                <w:rFonts w:hint="default"/>
              </w:rPr>
            </w:pPr>
            <w:r>
              <w:rPr>
                <w:rFonts w:hint="default"/>
                <w:lang w:val="en-US" w:eastAsia="zh-CN"/>
              </w:rPr>
              <w:t>1600</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AB4EEF">
            <w:pPr>
              <w:pStyle w:val="34"/>
              <w:bidi w:val="0"/>
              <w:rPr>
                <w:rFonts w:hint="eastAsia"/>
              </w:rPr>
            </w:pPr>
            <w:r>
              <w:rPr>
                <w:rFonts w:hint="eastAsia"/>
                <w:lang w:val="en-US" w:eastAsia="zh-CN"/>
              </w:rPr>
              <w:t>主体已有</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CBB92">
            <w:pPr>
              <w:pStyle w:val="34"/>
              <w:bidi w:val="0"/>
              <w:rPr>
                <w:rFonts w:hint="eastAsia"/>
              </w:rPr>
            </w:pPr>
            <w:r>
              <w:rPr>
                <w:rFonts w:hint="eastAsia"/>
                <w:lang w:val="en-US" w:eastAsia="zh-CN"/>
              </w:rPr>
              <w:t>未实施</w:t>
            </w:r>
          </w:p>
        </w:tc>
      </w:tr>
      <w:tr w14:paraId="26AD17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4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F900E2">
            <w:pPr>
              <w:pStyle w:val="34"/>
              <w:bidi w:val="0"/>
              <w:rPr>
                <w:rFonts w:hint="eastAsia"/>
              </w:rPr>
            </w:pPr>
          </w:p>
        </w:tc>
        <w:tc>
          <w:tcPr>
            <w:tcW w:w="503"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D06CE">
            <w:pPr>
              <w:pStyle w:val="34"/>
              <w:bidi w:val="0"/>
              <w:rPr>
                <w:rFonts w:hint="eastAsia"/>
              </w:rPr>
            </w:pPr>
          </w:p>
        </w:tc>
        <w:tc>
          <w:tcPr>
            <w:tcW w:w="5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CA1228">
            <w:pPr>
              <w:pStyle w:val="34"/>
              <w:bidi w:val="0"/>
              <w:rPr>
                <w:rFonts w:hint="eastAsia"/>
              </w:rPr>
            </w:pPr>
            <w:r>
              <w:rPr>
                <w:rFonts w:hint="eastAsia"/>
                <w:lang w:val="en-US" w:eastAsia="zh-CN"/>
              </w:rPr>
              <w:t>单篦雨水口</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47DBC">
            <w:pPr>
              <w:pStyle w:val="34"/>
              <w:bidi w:val="0"/>
              <w:rPr>
                <w:rFonts w:hint="eastAsia"/>
              </w:rPr>
            </w:pPr>
            <w:r>
              <w:rPr>
                <w:rFonts w:hint="eastAsia"/>
                <w:lang w:val="en-US" w:eastAsia="zh-CN"/>
              </w:rPr>
              <w:t>口</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9464F">
            <w:pPr>
              <w:pStyle w:val="34"/>
              <w:bidi w:val="0"/>
              <w:rPr>
                <w:rFonts w:hint="default"/>
              </w:rPr>
            </w:pPr>
            <w:r>
              <w:rPr>
                <w:rFonts w:hint="default"/>
                <w:lang w:val="en-US" w:eastAsia="zh-CN"/>
              </w:rPr>
              <w:t>50</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1203C8">
            <w:pPr>
              <w:pStyle w:val="34"/>
              <w:bidi w:val="0"/>
              <w:rPr>
                <w:rFonts w:hint="eastAsia"/>
              </w:rPr>
            </w:pPr>
            <w:r>
              <w:rPr>
                <w:rFonts w:hint="eastAsia"/>
                <w:lang w:val="en-US" w:eastAsia="zh-CN"/>
              </w:rPr>
              <w:t>主体已有</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64A7FF">
            <w:pPr>
              <w:pStyle w:val="34"/>
              <w:bidi w:val="0"/>
              <w:rPr>
                <w:rFonts w:hint="eastAsia"/>
              </w:rPr>
            </w:pPr>
            <w:r>
              <w:rPr>
                <w:rFonts w:hint="eastAsia"/>
                <w:lang w:val="en-US" w:eastAsia="zh-CN"/>
              </w:rPr>
              <w:t>未实施</w:t>
            </w:r>
          </w:p>
        </w:tc>
      </w:tr>
      <w:tr w14:paraId="5AA6E9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4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1F001">
            <w:pPr>
              <w:pStyle w:val="34"/>
              <w:bidi w:val="0"/>
              <w:rPr>
                <w:rFonts w:hint="eastAsia"/>
              </w:rPr>
            </w:pPr>
          </w:p>
        </w:tc>
        <w:tc>
          <w:tcPr>
            <w:tcW w:w="50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B396DF">
            <w:pPr>
              <w:pStyle w:val="34"/>
              <w:bidi w:val="0"/>
              <w:rPr>
                <w:rFonts w:hint="eastAsia"/>
              </w:rPr>
            </w:pPr>
            <w:r>
              <w:rPr>
                <w:rFonts w:hint="eastAsia"/>
                <w:lang w:val="en-US" w:eastAsia="zh-CN"/>
              </w:rPr>
              <w:t>临时措施</w:t>
            </w:r>
          </w:p>
        </w:tc>
        <w:tc>
          <w:tcPr>
            <w:tcW w:w="5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912D57">
            <w:pPr>
              <w:pStyle w:val="34"/>
              <w:bidi w:val="0"/>
              <w:rPr>
                <w:rFonts w:hint="eastAsia"/>
              </w:rPr>
            </w:pPr>
            <w:r>
              <w:rPr>
                <w:rFonts w:hint="eastAsia"/>
                <w:lang w:val="en-US" w:eastAsia="zh-CN"/>
              </w:rPr>
              <w:t>洗车系统</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8313A">
            <w:pPr>
              <w:pStyle w:val="34"/>
              <w:bidi w:val="0"/>
              <w:rPr>
                <w:rFonts w:hint="eastAsia"/>
              </w:rPr>
            </w:pPr>
            <w:r>
              <w:rPr>
                <w:rFonts w:hint="eastAsia"/>
                <w:lang w:val="en-US" w:eastAsia="zh-CN"/>
              </w:rPr>
              <w:t>座</w:t>
            </w:r>
          </w:p>
        </w:tc>
        <w:tc>
          <w:tcPr>
            <w:tcW w:w="6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6D961F">
            <w:pPr>
              <w:pStyle w:val="34"/>
              <w:bidi w:val="0"/>
              <w:rPr>
                <w:rFonts w:hint="default"/>
              </w:rPr>
            </w:pPr>
            <w:r>
              <w:rPr>
                <w:rFonts w:hint="default"/>
                <w:lang w:val="en-US" w:eastAsia="zh-CN"/>
              </w:rPr>
              <w:t>1</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E51F2">
            <w:pPr>
              <w:pStyle w:val="34"/>
              <w:bidi w:val="0"/>
              <w:rPr>
                <w:rFonts w:hint="eastAsia"/>
              </w:rPr>
            </w:pPr>
            <w:r>
              <w:rPr>
                <w:rFonts w:hint="eastAsia"/>
                <w:lang w:val="en-US" w:eastAsia="zh-CN"/>
              </w:rPr>
              <w:t>方案新增</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D5CCF">
            <w:pPr>
              <w:pStyle w:val="34"/>
              <w:bidi w:val="0"/>
              <w:rPr>
                <w:rFonts w:hint="eastAsia"/>
              </w:rPr>
            </w:pPr>
            <w:r>
              <w:rPr>
                <w:rFonts w:hint="eastAsia"/>
                <w:lang w:val="en-US" w:eastAsia="zh-CN"/>
              </w:rPr>
              <w:t>未实施</w:t>
            </w:r>
          </w:p>
        </w:tc>
      </w:tr>
      <w:tr w14:paraId="74C017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4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563902">
            <w:pPr>
              <w:pStyle w:val="34"/>
              <w:bidi w:val="0"/>
              <w:rPr>
                <w:rFonts w:hint="eastAsia"/>
              </w:rPr>
            </w:pPr>
          </w:p>
        </w:tc>
        <w:tc>
          <w:tcPr>
            <w:tcW w:w="5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1D8268">
            <w:pPr>
              <w:pStyle w:val="34"/>
              <w:bidi w:val="0"/>
              <w:rPr>
                <w:rFonts w:hint="eastAsia"/>
              </w:rPr>
            </w:pPr>
          </w:p>
        </w:tc>
        <w:tc>
          <w:tcPr>
            <w:tcW w:w="5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9FE558">
            <w:pPr>
              <w:pStyle w:val="34"/>
              <w:bidi w:val="0"/>
              <w:rPr>
                <w:rFonts w:hint="eastAsia"/>
              </w:rPr>
            </w:pPr>
            <w:r>
              <w:rPr>
                <w:rFonts w:hint="eastAsia"/>
                <w:lang w:val="en-US" w:eastAsia="zh-CN"/>
              </w:rPr>
              <w:t>临时排水沟</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C8D1D">
            <w:pPr>
              <w:pStyle w:val="34"/>
              <w:bidi w:val="0"/>
              <w:rPr>
                <w:rFonts w:hint="default"/>
              </w:rPr>
            </w:pPr>
            <w:r>
              <w:rPr>
                <w:rFonts w:hint="default"/>
                <w:lang w:val="en-US" w:eastAsia="zh-CN"/>
              </w:rPr>
              <w:t>m</w:t>
            </w:r>
          </w:p>
        </w:tc>
        <w:tc>
          <w:tcPr>
            <w:tcW w:w="6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FFC81">
            <w:pPr>
              <w:pStyle w:val="34"/>
              <w:bidi w:val="0"/>
              <w:rPr>
                <w:rFonts w:hint="default"/>
              </w:rPr>
            </w:pPr>
            <w:r>
              <w:rPr>
                <w:rFonts w:hint="default"/>
                <w:lang w:val="en-US" w:eastAsia="zh-CN"/>
              </w:rPr>
              <w:t>500</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25AF47">
            <w:pPr>
              <w:pStyle w:val="34"/>
              <w:bidi w:val="0"/>
              <w:rPr>
                <w:rFonts w:hint="eastAsia"/>
              </w:rPr>
            </w:pPr>
            <w:r>
              <w:rPr>
                <w:rFonts w:hint="eastAsia"/>
                <w:lang w:val="en-US" w:eastAsia="zh-CN"/>
              </w:rPr>
              <w:t>方案新增</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3AC09A">
            <w:pPr>
              <w:pStyle w:val="34"/>
              <w:bidi w:val="0"/>
              <w:rPr>
                <w:rFonts w:hint="eastAsia"/>
              </w:rPr>
            </w:pPr>
            <w:r>
              <w:rPr>
                <w:rFonts w:hint="eastAsia"/>
                <w:lang w:val="en-US" w:eastAsia="zh-CN"/>
              </w:rPr>
              <w:t>未实施</w:t>
            </w:r>
          </w:p>
        </w:tc>
      </w:tr>
      <w:tr w14:paraId="410230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4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D89673">
            <w:pPr>
              <w:pStyle w:val="34"/>
              <w:bidi w:val="0"/>
              <w:rPr>
                <w:rFonts w:hint="eastAsia"/>
              </w:rPr>
            </w:pPr>
          </w:p>
        </w:tc>
        <w:tc>
          <w:tcPr>
            <w:tcW w:w="5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9E0616">
            <w:pPr>
              <w:pStyle w:val="34"/>
              <w:bidi w:val="0"/>
              <w:rPr>
                <w:rFonts w:hint="eastAsia"/>
              </w:rPr>
            </w:pPr>
          </w:p>
        </w:tc>
        <w:tc>
          <w:tcPr>
            <w:tcW w:w="5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D4F2E">
            <w:pPr>
              <w:pStyle w:val="34"/>
              <w:bidi w:val="0"/>
              <w:rPr>
                <w:rFonts w:hint="eastAsia"/>
              </w:rPr>
            </w:pPr>
            <w:r>
              <w:rPr>
                <w:rFonts w:hint="eastAsia"/>
                <w:lang w:val="en-US" w:eastAsia="zh-CN"/>
              </w:rPr>
              <w:t>临时沉砂池</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ECD9C6">
            <w:pPr>
              <w:pStyle w:val="34"/>
              <w:bidi w:val="0"/>
              <w:rPr>
                <w:rFonts w:hint="eastAsia"/>
              </w:rPr>
            </w:pPr>
            <w:r>
              <w:rPr>
                <w:rFonts w:hint="eastAsia"/>
                <w:lang w:val="en-US" w:eastAsia="zh-CN"/>
              </w:rPr>
              <w:t>口</w:t>
            </w:r>
          </w:p>
        </w:tc>
        <w:tc>
          <w:tcPr>
            <w:tcW w:w="6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EB49FF">
            <w:pPr>
              <w:pStyle w:val="34"/>
              <w:bidi w:val="0"/>
              <w:rPr>
                <w:rFonts w:hint="default"/>
              </w:rPr>
            </w:pPr>
            <w:r>
              <w:rPr>
                <w:rFonts w:hint="default"/>
                <w:lang w:val="en-US" w:eastAsia="zh-CN"/>
              </w:rPr>
              <w:t>2</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5C880">
            <w:pPr>
              <w:pStyle w:val="34"/>
              <w:bidi w:val="0"/>
              <w:rPr>
                <w:rFonts w:hint="eastAsia"/>
              </w:rPr>
            </w:pPr>
            <w:r>
              <w:rPr>
                <w:rFonts w:hint="eastAsia"/>
                <w:lang w:val="en-US" w:eastAsia="zh-CN"/>
              </w:rPr>
              <w:t>方案新增</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E0330">
            <w:pPr>
              <w:pStyle w:val="34"/>
              <w:bidi w:val="0"/>
              <w:rPr>
                <w:rFonts w:hint="eastAsia"/>
              </w:rPr>
            </w:pPr>
            <w:r>
              <w:rPr>
                <w:rFonts w:hint="eastAsia"/>
                <w:lang w:val="en-US" w:eastAsia="zh-CN"/>
              </w:rPr>
              <w:t>未实施</w:t>
            </w:r>
          </w:p>
        </w:tc>
      </w:tr>
      <w:tr w14:paraId="799D95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45"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52F134">
            <w:pPr>
              <w:pStyle w:val="34"/>
              <w:bidi w:val="0"/>
              <w:rPr>
                <w:rFonts w:hint="eastAsia"/>
              </w:rPr>
            </w:pPr>
          </w:p>
        </w:tc>
        <w:tc>
          <w:tcPr>
            <w:tcW w:w="50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4E35CC">
            <w:pPr>
              <w:pStyle w:val="34"/>
              <w:bidi w:val="0"/>
              <w:rPr>
                <w:rFonts w:hint="eastAsia"/>
              </w:rPr>
            </w:pPr>
          </w:p>
        </w:tc>
        <w:tc>
          <w:tcPr>
            <w:tcW w:w="5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BA4EC6">
            <w:pPr>
              <w:pStyle w:val="34"/>
              <w:bidi w:val="0"/>
              <w:rPr>
                <w:rFonts w:hint="eastAsia"/>
              </w:rPr>
            </w:pPr>
            <w:r>
              <w:rPr>
                <w:rFonts w:hint="eastAsia"/>
                <w:lang w:val="en-US" w:eastAsia="zh-CN"/>
              </w:rPr>
              <w:t>防雨布遮盖</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60466">
            <w:pPr>
              <w:pStyle w:val="34"/>
              <w:bidi w:val="0"/>
              <w:rPr>
                <w:rFonts w:hint="default"/>
              </w:rPr>
            </w:pPr>
            <w:r>
              <w:rPr>
                <w:rFonts w:hint="default"/>
                <w:lang w:val="en-US" w:eastAsia="zh-CN"/>
              </w:rPr>
              <w:t>m²</w:t>
            </w:r>
          </w:p>
        </w:tc>
        <w:tc>
          <w:tcPr>
            <w:tcW w:w="6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5D5185">
            <w:pPr>
              <w:pStyle w:val="34"/>
              <w:bidi w:val="0"/>
              <w:rPr>
                <w:rFonts w:hint="default"/>
              </w:rPr>
            </w:pPr>
            <w:r>
              <w:rPr>
                <w:rFonts w:hint="default"/>
                <w:lang w:val="en-US" w:eastAsia="zh-CN"/>
              </w:rPr>
              <w:t>20000</w:t>
            </w:r>
          </w:p>
        </w:tc>
        <w:tc>
          <w:tcPr>
            <w:tcW w:w="6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E1D06">
            <w:pPr>
              <w:pStyle w:val="34"/>
              <w:bidi w:val="0"/>
              <w:rPr>
                <w:rFonts w:hint="eastAsia"/>
              </w:rPr>
            </w:pPr>
            <w:r>
              <w:rPr>
                <w:rFonts w:hint="eastAsia"/>
                <w:lang w:val="en-US" w:eastAsia="zh-CN"/>
              </w:rPr>
              <w:t>方案新增</w:t>
            </w:r>
          </w:p>
        </w:tc>
        <w:tc>
          <w:tcPr>
            <w:tcW w:w="70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B89E6">
            <w:pPr>
              <w:pStyle w:val="34"/>
              <w:bidi w:val="0"/>
              <w:rPr>
                <w:rFonts w:hint="eastAsia"/>
              </w:rPr>
            </w:pPr>
            <w:r>
              <w:rPr>
                <w:rFonts w:hint="eastAsia"/>
                <w:lang w:val="en-US" w:eastAsia="zh-CN"/>
              </w:rPr>
              <w:t>未实施</w:t>
            </w:r>
          </w:p>
        </w:tc>
      </w:tr>
    </w:tbl>
    <w:p w14:paraId="21914C83">
      <w:pPr>
        <w:pStyle w:val="3"/>
        <w:bidi w:val="0"/>
        <w:rPr>
          <w:color w:val="auto"/>
        </w:rPr>
      </w:pPr>
      <w:bookmarkStart w:id="134" w:name="_Toc123"/>
      <w:r>
        <w:rPr>
          <w:rFonts w:hint="eastAsia"/>
          <w:color w:val="auto"/>
        </w:rPr>
        <w:t>5.3分区措施布设</w:t>
      </w:r>
      <w:bookmarkEnd w:id="134"/>
    </w:p>
    <w:p w14:paraId="6622523A">
      <w:pPr>
        <w:pStyle w:val="5"/>
        <w:bidi w:val="0"/>
        <w:rPr>
          <w:rFonts w:hint="eastAsia"/>
          <w:color w:val="auto"/>
          <w:lang w:eastAsia="zh-CN"/>
        </w:rPr>
      </w:pPr>
      <w:r>
        <w:rPr>
          <w:rFonts w:hint="eastAsia"/>
          <w:color w:val="auto"/>
        </w:rPr>
        <w:t>5.3.1</w:t>
      </w:r>
      <w:r>
        <w:rPr>
          <w:rFonts w:hint="eastAsia"/>
          <w:color w:val="auto"/>
          <w:lang w:eastAsia="zh-CN"/>
        </w:rPr>
        <w:t>建构筑物区</w:t>
      </w:r>
    </w:p>
    <w:p w14:paraId="36A3FFE6">
      <w:pPr>
        <w:bidi w:val="0"/>
        <w:rPr>
          <w:rFonts w:hint="eastAsia"/>
          <w:b/>
          <w:bCs/>
          <w:color w:val="auto"/>
          <w:highlight w:val="none"/>
          <w:lang w:val="en-US" w:eastAsia="zh-CN"/>
        </w:rPr>
      </w:pPr>
      <w:r>
        <w:rPr>
          <w:rFonts w:hint="eastAsia"/>
          <w:b/>
          <w:bCs/>
          <w:color w:val="auto"/>
          <w:highlight w:val="none"/>
          <w:lang w:val="en-US" w:eastAsia="zh-CN"/>
        </w:rPr>
        <w:t>2、临时措施</w:t>
      </w:r>
    </w:p>
    <w:p w14:paraId="62680516">
      <w:pPr>
        <w:bidi w:val="0"/>
        <w:rPr>
          <w:rFonts w:hint="eastAsia"/>
          <w:color w:val="auto"/>
          <w:highlight w:val="none"/>
          <w:lang w:val="en-US" w:eastAsia="zh-CN"/>
        </w:rPr>
      </w:pPr>
      <w:r>
        <w:rPr>
          <w:rFonts w:hint="eastAsia"/>
          <w:color w:val="auto"/>
          <w:highlight w:val="none"/>
          <w:lang w:val="en-US" w:eastAsia="zh-CN"/>
        </w:rPr>
        <w:t>1）防雨布遮盖</w:t>
      </w:r>
      <w:r>
        <w:rPr>
          <w:rFonts w:hint="eastAsia"/>
          <w:color w:val="auto"/>
          <w:spacing w:val="-4"/>
          <w:szCs w:val="24"/>
          <w:highlight w:val="none"/>
          <w:lang w:eastAsia="zh-CN"/>
        </w:rPr>
        <w:t>（</w:t>
      </w:r>
      <w:r>
        <w:rPr>
          <w:rFonts w:hint="eastAsia"/>
          <w:color w:val="auto"/>
          <w:spacing w:val="-4"/>
          <w:szCs w:val="24"/>
          <w:highlight w:val="none"/>
          <w:lang w:val="en-US" w:eastAsia="zh-CN"/>
        </w:rPr>
        <w:t>方案新增，未实施</w:t>
      </w:r>
      <w:r>
        <w:rPr>
          <w:rFonts w:hint="eastAsia"/>
          <w:color w:val="auto"/>
          <w:spacing w:val="-4"/>
          <w:szCs w:val="24"/>
          <w:highlight w:val="none"/>
          <w:lang w:eastAsia="zh-CN"/>
        </w:rPr>
        <w:t>）</w:t>
      </w:r>
    </w:p>
    <w:p w14:paraId="4284C879">
      <w:pPr>
        <w:ind w:firstLine="464"/>
        <w:rPr>
          <w:rFonts w:eastAsia="仿宋_GB2312"/>
          <w:color w:val="auto"/>
          <w:spacing w:val="-4"/>
          <w:szCs w:val="24"/>
          <w:highlight w:val="none"/>
        </w:rPr>
      </w:pPr>
      <w:r>
        <w:rPr>
          <w:rFonts w:eastAsia="仿宋_GB2312"/>
          <w:color w:val="auto"/>
          <w:spacing w:val="-4"/>
          <w:szCs w:val="24"/>
          <w:highlight w:val="none"/>
        </w:rPr>
        <w:t>为防止工程未及时硬化的区域遇降雨易产生水土流失，本方案设计在裸露区域布置防雨布遮盖</w:t>
      </w:r>
      <w:r>
        <w:rPr>
          <w:rFonts w:hint="eastAsia"/>
          <w:color w:val="auto"/>
          <w:spacing w:val="-4"/>
          <w:szCs w:val="24"/>
          <w:highlight w:val="none"/>
          <w:lang w:val="en-US" w:eastAsia="zh-CN"/>
        </w:rPr>
        <w:t>15000</w:t>
      </w:r>
      <w:r>
        <w:rPr>
          <w:rFonts w:eastAsia="仿宋_GB2312"/>
          <w:color w:val="auto"/>
          <w:spacing w:val="-4"/>
          <w:szCs w:val="24"/>
          <w:highlight w:val="none"/>
        </w:rPr>
        <w:t>m</w:t>
      </w:r>
      <w:r>
        <w:rPr>
          <w:rFonts w:eastAsia="仿宋_GB2312"/>
          <w:color w:val="auto"/>
          <w:spacing w:val="-4"/>
          <w:szCs w:val="24"/>
          <w:highlight w:val="none"/>
          <w:vertAlign w:val="superscript"/>
        </w:rPr>
        <w:t>2</w:t>
      </w:r>
      <w:r>
        <w:rPr>
          <w:rFonts w:eastAsia="仿宋_GB2312"/>
          <w:color w:val="auto"/>
          <w:spacing w:val="-4"/>
          <w:szCs w:val="24"/>
          <w:highlight w:val="none"/>
        </w:rPr>
        <w:t>。实施时段为202</w:t>
      </w:r>
      <w:r>
        <w:rPr>
          <w:rFonts w:hint="eastAsia"/>
          <w:color w:val="auto"/>
          <w:spacing w:val="-4"/>
          <w:szCs w:val="24"/>
          <w:highlight w:val="none"/>
          <w:lang w:val="en-US" w:eastAsia="zh-CN"/>
        </w:rPr>
        <w:t>5</w:t>
      </w:r>
      <w:r>
        <w:rPr>
          <w:rFonts w:eastAsia="仿宋_GB2312"/>
          <w:color w:val="auto"/>
          <w:spacing w:val="-4"/>
          <w:szCs w:val="24"/>
          <w:highlight w:val="none"/>
        </w:rPr>
        <w:t>年</w:t>
      </w:r>
      <w:r>
        <w:rPr>
          <w:rFonts w:hint="eastAsia"/>
          <w:color w:val="auto"/>
          <w:spacing w:val="-4"/>
          <w:szCs w:val="24"/>
          <w:highlight w:val="none"/>
          <w:lang w:val="en-US" w:eastAsia="zh-CN"/>
        </w:rPr>
        <w:t>1</w:t>
      </w:r>
      <w:r>
        <w:rPr>
          <w:rFonts w:eastAsia="仿宋_GB2312"/>
          <w:color w:val="auto"/>
          <w:spacing w:val="-4"/>
          <w:szCs w:val="24"/>
          <w:highlight w:val="none"/>
        </w:rPr>
        <w:t>月</w:t>
      </w:r>
      <w:r>
        <w:rPr>
          <w:rFonts w:hint="eastAsia"/>
          <w:color w:val="auto"/>
          <w:spacing w:val="-4"/>
          <w:szCs w:val="24"/>
          <w:highlight w:val="none"/>
          <w:lang w:val="en-US" w:eastAsia="zh-CN"/>
        </w:rPr>
        <w:t>~</w:t>
      </w:r>
      <w:r>
        <w:rPr>
          <w:rFonts w:eastAsia="仿宋_GB2312"/>
          <w:color w:val="auto"/>
          <w:spacing w:val="-4"/>
          <w:szCs w:val="24"/>
          <w:highlight w:val="none"/>
        </w:rPr>
        <w:t>202</w:t>
      </w:r>
      <w:r>
        <w:rPr>
          <w:rFonts w:hint="eastAsia"/>
          <w:color w:val="auto"/>
          <w:spacing w:val="-4"/>
          <w:szCs w:val="24"/>
          <w:highlight w:val="none"/>
          <w:lang w:val="en-US" w:eastAsia="zh-CN"/>
        </w:rPr>
        <w:t>5</w:t>
      </w:r>
      <w:r>
        <w:rPr>
          <w:rFonts w:eastAsia="仿宋_GB2312"/>
          <w:color w:val="auto"/>
          <w:spacing w:val="-4"/>
          <w:szCs w:val="24"/>
          <w:highlight w:val="none"/>
        </w:rPr>
        <w:t>年</w:t>
      </w:r>
      <w:r>
        <w:rPr>
          <w:rFonts w:hint="eastAsia"/>
          <w:color w:val="auto"/>
          <w:spacing w:val="-4"/>
          <w:szCs w:val="24"/>
          <w:highlight w:val="none"/>
          <w:lang w:val="en-US" w:eastAsia="zh-CN"/>
        </w:rPr>
        <w:t>3</w:t>
      </w:r>
      <w:r>
        <w:rPr>
          <w:rFonts w:eastAsia="仿宋_GB2312"/>
          <w:color w:val="auto"/>
          <w:spacing w:val="-4"/>
          <w:szCs w:val="24"/>
          <w:highlight w:val="none"/>
        </w:rPr>
        <w:t>月。</w:t>
      </w:r>
    </w:p>
    <w:p w14:paraId="374AF7E0">
      <w:pPr>
        <w:pStyle w:val="5"/>
        <w:bidi w:val="0"/>
        <w:rPr>
          <w:rFonts w:hint="default"/>
          <w:color w:val="auto"/>
          <w:highlight w:val="none"/>
          <w:lang w:val="en-US" w:eastAsia="zh-CN"/>
        </w:rPr>
      </w:pPr>
      <w:r>
        <w:rPr>
          <w:rStyle w:val="39"/>
          <w:rFonts w:hint="eastAsia"/>
          <w:b/>
          <w:color w:val="auto"/>
          <w:highlight w:val="none"/>
          <w:lang w:val="en-US" w:eastAsia="zh-CN"/>
        </w:rPr>
        <w:t>5.3.2</w:t>
      </w:r>
      <w:r>
        <w:rPr>
          <w:rFonts w:hint="eastAsia"/>
          <w:color w:val="auto"/>
          <w:highlight w:val="none"/>
          <w:lang w:val="en-US" w:eastAsia="zh-CN"/>
        </w:rPr>
        <w:t>道路硬化区</w:t>
      </w:r>
    </w:p>
    <w:p w14:paraId="4564B2C9">
      <w:pPr>
        <w:bidi w:val="0"/>
        <w:rPr>
          <w:rFonts w:hint="eastAsia"/>
          <w:b/>
          <w:bCs/>
          <w:color w:val="auto"/>
          <w:highlight w:val="none"/>
          <w:lang w:val="en-US" w:eastAsia="zh-CN"/>
        </w:rPr>
      </w:pPr>
      <w:r>
        <w:rPr>
          <w:rFonts w:hint="eastAsia"/>
          <w:b/>
          <w:bCs/>
          <w:color w:val="auto"/>
          <w:highlight w:val="none"/>
          <w:lang w:val="en-US" w:eastAsia="zh-CN"/>
        </w:rPr>
        <w:t>1、工程措施</w:t>
      </w:r>
    </w:p>
    <w:p w14:paraId="4C1FC9A7">
      <w:pPr>
        <w:ind w:firstLine="480"/>
        <w:rPr>
          <w:rFonts w:hint="default"/>
          <w:color w:val="auto"/>
          <w:kern w:val="0"/>
          <w:highlight w:val="none"/>
          <w:lang w:val="en-US" w:eastAsia="zh-CN"/>
        </w:rPr>
      </w:pPr>
      <w:r>
        <w:rPr>
          <w:rFonts w:hint="eastAsia"/>
          <w:color w:val="auto"/>
          <w:kern w:val="0"/>
          <w:highlight w:val="none"/>
          <w:lang w:val="en-US" w:eastAsia="zh-CN"/>
        </w:rPr>
        <w:t>1）雨水管道、雨水口</w:t>
      </w:r>
      <w:r>
        <w:rPr>
          <w:rFonts w:hint="eastAsia"/>
          <w:color w:val="auto"/>
          <w:highlight w:val="none"/>
          <w:lang w:val="en-US" w:eastAsia="zh-CN"/>
        </w:rPr>
        <w:t>（主体已有，未实施）</w:t>
      </w:r>
    </w:p>
    <w:p w14:paraId="76FD3A91">
      <w:pPr>
        <w:bidi w:val="0"/>
        <w:rPr>
          <w:rFonts w:hint="default"/>
          <w:color w:val="auto"/>
          <w:kern w:val="0"/>
          <w:highlight w:val="none"/>
          <w:lang w:val="en-US" w:eastAsia="zh-CN"/>
        </w:rPr>
      </w:pPr>
      <w:r>
        <w:rPr>
          <w:color w:val="auto"/>
          <w:szCs w:val="24"/>
          <w:highlight w:val="none"/>
        </w:rPr>
        <w:t>体工程设计在项目区内布置雨水管网、雨水口具有水土保持功能的</w:t>
      </w:r>
      <w:r>
        <w:rPr>
          <w:rFonts w:hint="eastAsia"/>
          <w:color w:val="auto"/>
          <w:szCs w:val="24"/>
          <w:highlight w:val="none"/>
        </w:rPr>
        <w:t>措施</w:t>
      </w:r>
      <w:r>
        <w:rPr>
          <w:color w:val="auto"/>
          <w:szCs w:val="24"/>
          <w:highlight w:val="none"/>
        </w:rPr>
        <w:t>，雨水通过雨水篦子后进入排水支管再进入雨水干管，</w:t>
      </w:r>
      <w:r>
        <w:rPr>
          <w:rFonts w:hint="eastAsia"/>
          <w:color w:val="auto"/>
          <w:szCs w:val="24"/>
          <w:highlight w:val="none"/>
          <w:lang w:val="en-US" w:eastAsia="zh-CN"/>
        </w:rPr>
        <w:t>地上工程</w:t>
      </w:r>
      <w:r>
        <w:rPr>
          <w:rFonts w:hint="eastAsia"/>
          <w:color w:val="auto"/>
          <w:szCs w:val="24"/>
          <w:highlight w:val="none"/>
        </w:rPr>
        <w:t>区内沿硬化道路</w:t>
      </w:r>
      <w:r>
        <w:rPr>
          <w:color w:val="auto"/>
          <w:szCs w:val="24"/>
          <w:highlight w:val="none"/>
        </w:rPr>
        <w:t>设置雨水管</w:t>
      </w:r>
      <w:r>
        <w:rPr>
          <w:rFonts w:hint="eastAsia"/>
          <w:color w:val="auto"/>
          <w:szCs w:val="24"/>
          <w:highlight w:val="none"/>
        </w:rPr>
        <w:t>、</w:t>
      </w:r>
      <w:r>
        <w:rPr>
          <w:color w:val="auto"/>
          <w:szCs w:val="24"/>
          <w:highlight w:val="none"/>
        </w:rPr>
        <w:t>雨水口，雨水口通过支管与雨水干管连接。</w:t>
      </w:r>
      <w:r>
        <w:rPr>
          <w:bCs/>
          <w:color w:val="auto"/>
          <w:szCs w:val="24"/>
          <w:highlight w:val="none"/>
        </w:rPr>
        <w:t>雨水管总长</w:t>
      </w:r>
      <w:r>
        <w:rPr>
          <w:rFonts w:hint="eastAsia"/>
          <w:bCs/>
          <w:color w:val="auto"/>
          <w:szCs w:val="24"/>
          <w:highlight w:val="none"/>
          <w:lang w:val="en-US" w:eastAsia="zh-CN"/>
        </w:rPr>
        <w:t>1600</w:t>
      </w:r>
      <w:r>
        <w:rPr>
          <w:bCs/>
          <w:color w:val="auto"/>
          <w:szCs w:val="24"/>
          <w:highlight w:val="none"/>
        </w:rPr>
        <w:t>m，</w:t>
      </w:r>
      <w:r>
        <w:rPr>
          <w:rFonts w:hint="eastAsia"/>
          <w:color w:val="auto"/>
          <w:highlight w:val="none"/>
        </w:rPr>
        <w:t>道路外侧</w:t>
      </w:r>
      <w:r>
        <w:rPr>
          <w:color w:val="auto"/>
          <w:highlight w:val="none"/>
        </w:rPr>
        <w:t>地表设置雨水口用于收集地表雨水，</w:t>
      </w:r>
      <w:r>
        <w:rPr>
          <w:rFonts w:hint="eastAsia"/>
          <w:color w:val="auto"/>
          <w:highlight w:val="none"/>
        </w:rPr>
        <w:t>有路沿石的雨水口采用砖砌偏沟式雨水口，无路沿石的雨水口采用平箅式雨水口，共布设雨水口</w:t>
      </w:r>
      <w:r>
        <w:rPr>
          <w:rFonts w:hint="eastAsia"/>
          <w:color w:val="auto"/>
          <w:highlight w:val="none"/>
          <w:lang w:val="en-US" w:eastAsia="zh-CN"/>
        </w:rPr>
        <w:t>50</w:t>
      </w:r>
      <w:r>
        <w:rPr>
          <w:rFonts w:hint="eastAsia"/>
          <w:color w:val="auto"/>
          <w:highlight w:val="none"/>
        </w:rPr>
        <w:t>座。</w:t>
      </w:r>
      <w:r>
        <w:rPr>
          <w:color w:val="auto"/>
          <w:highlight w:val="none"/>
        </w:rPr>
        <w:t>主体工程设计</w:t>
      </w:r>
      <w:r>
        <w:rPr>
          <w:rFonts w:hint="eastAsia"/>
          <w:color w:val="auto"/>
          <w:highlight w:val="none"/>
        </w:rPr>
        <w:t>的雨水管网</w:t>
      </w:r>
      <w:r>
        <w:rPr>
          <w:color w:val="auto"/>
          <w:highlight w:val="none"/>
        </w:rPr>
        <w:t>能够有效排除</w:t>
      </w:r>
      <w:r>
        <w:rPr>
          <w:rFonts w:hint="eastAsia"/>
          <w:color w:val="auto"/>
          <w:highlight w:val="none"/>
        </w:rPr>
        <w:t>项目地块内的雨水，能起到较好的水土保持作用，具有较好的水土保持功能</w:t>
      </w:r>
      <w:r>
        <w:rPr>
          <w:rFonts w:hint="eastAsia"/>
          <w:color w:val="auto"/>
          <w:highlight w:val="none"/>
          <w:lang w:eastAsia="zh-CN"/>
        </w:rPr>
        <w:t>。</w:t>
      </w:r>
      <w:r>
        <w:rPr>
          <w:rFonts w:hint="eastAsia" w:cs="Times New Roman"/>
          <w:color w:val="auto"/>
          <w:kern w:val="0"/>
          <w:highlight w:val="none"/>
          <w:lang w:val="en-US" w:eastAsia="zh-CN"/>
        </w:rPr>
        <w:t>实施时段为2025年2月~4月。</w:t>
      </w:r>
    </w:p>
    <w:p w14:paraId="197201F4">
      <w:pPr>
        <w:bidi w:val="0"/>
        <w:rPr>
          <w:rFonts w:hint="default"/>
          <w:color w:val="auto"/>
          <w:kern w:val="2"/>
          <w:sz w:val="24"/>
          <w:szCs w:val="24"/>
          <w:highlight w:val="none"/>
          <w:lang w:val="en-US" w:eastAsia="zh-CN"/>
        </w:rPr>
      </w:pPr>
      <w:r>
        <w:rPr>
          <w:rFonts w:hint="eastAsia"/>
          <w:color w:val="auto"/>
          <w:kern w:val="2"/>
          <w:sz w:val="24"/>
          <w:szCs w:val="24"/>
          <w:highlight w:val="none"/>
          <w:lang w:val="en-US" w:eastAsia="zh-CN"/>
        </w:rPr>
        <w:t>2、临时措施</w:t>
      </w:r>
    </w:p>
    <w:p w14:paraId="265B26DF">
      <w:pPr>
        <w:ind w:firstLine="480"/>
        <w:rPr>
          <w:rFonts w:hint="eastAsia" w:eastAsia="仿宋_GB2312"/>
          <w:color w:val="auto"/>
          <w:highlight w:val="none"/>
          <w:lang w:eastAsia="zh-CN"/>
        </w:rPr>
      </w:pPr>
      <w:r>
        <w:rPr>
          <w:rFonts w:hint="eastAsia"/>
          <w:color w:val="auto"/>
          <w:highlight w:val="none"/>
          <w:lang w:val="en-US" w:eastAsia="zh-CN"/>
        </w:rPr>
        <w:t>1）洗车系统</w:t>
      </w:r>
      <w:r>
        <w:rPr>
          <w:rFonts w:hint="eastAsia"/>
          <w:color w:val="auto"/>
          <w:highlight w:val="none"/>
          <w:lang w:eastAsia="zh-CN"/>
        </w:rPr>
        <w:t>（</w:t>
      </w:r>
      <w:r>
        <w:rPr>
          <w:rFonts w:hint="eastAsia"/>
          <w:color w:val="auto"/>
          <w:highlight w:val="none"/>
          <w:lang w:val="en-US" w:eastAsia="zh-CN"/>
        </w:rPr>
        <w:t>方案新增，未实施</w:t>
      </w:r>
      <w:r>
        <w:rPr>
          <w:rFonts w:hint="eastAsia"/>
          <w:color w:val="auto"/>
          <w:highlight w:val="none"/>
          <w:lang w:eastAsia="zh-CN"/>
        </w:rPr>
        <w:t>）</w:t>
      </w:r>
    </w:p>
    <w:p w14:paraId="40905207">
      <w:pPr>
        <w:ind w:firstLine="480"/>
        <w:rPr>
          <w:rFonts w:eastAsia="仿宋_GB2312"/>
          <w:color w:val="auto"/>
          <w:spacing w:val="-4"/>
          <w:szCs w:val="24"/>
          <w:highlight w:val="none"/>
        </w:rPr>
      </w:pPr>
      <w:r>
        <w:rPr>
          <w:rFonts w:hint="eastAsia"/>
          <w:color w:val="auto"/>
          <w:highlight w:val="none"/>
          <w:lang w:val="en-US" w:eastAsia="zh-CN"/>
        </w:rPr>
        <w:t>洗车系统包括洗车系统和沉砂池，</w:t>
      </w:r>
      <w:r>
        <w:rPr>
          <w:rFonts w:eastAsia="仿宋_GB2312"/>
          <w:color w:val="auto"/>
          <w:highlight w:val="none"/>
        </w:rPr>
        <w:t>在施工出入口</w:t>
      </w:r>
      <w:r>
        <w:rPr>
          <w:rFonts w:hint="eastAsia"/>
          <w:color w:val="auto"/>
          <w:highlight w:val="none"/>
          <w:lang w:eastAsia="zh-CN"/>
        </w:rPr>
        <w:t>（北侧）</w:t>
      </w:r>
      <w:r>
        <w:rPr>
          <w:rFonts w:eastAsia="仿宋_GB2312"/>
          <w:color w:val="auto"/>
          <w:highlight w:val="none"/>
        </w:rPr>
        <w:t>布置一处洗车槽</w:t>
      </w:r>
      <w:r>
        <w:rPr>
          <w:rFonts w:eastAsia="仿宋_GB2312"/>
          <w:color w:val="auto"/>
          <w:kern w:val="0"/>
          <w:highlight w:val="none"/>
        </w:rPr>
        <w:t>用于冲洗出入车辆，</w:t>
      </w:r>
      <w:r>
        <w:rPr>
          <w:rFonts w:eastAsia="仿宋_GB2312"/>
          <w:color w:val="auto"/>
          <w:spacing w:val="-4"/>
          <w:szCs w:val="24"/>
          <w:highlight w:val="none"/>
        </w:rPr>
        <w:t>沉砂池1口（M</w:t>
      </w:r>
      <w:r>
        <w:rPr>
          <w:rFonts w:eastAsia="仿宋_GB2312"/>
          <w:color w:val="auto"/>
          <w:spacing w:val="-4"/>
          <w:szCs w:val="24"/>
          <w:highlight w:val="none"/>
          <w:vertAlign w:val="subscript"/>
        </w:rPr>
        <w:t>7.5</w:t>
      </w:r>
      <w:r>
        <w:rPr>
          <w:rFonts w:eastAsia="仿宋_GB2312"/>
          <w:color w:val="auto"/>
          <w:spacing w:val="-4"/>
          <w:szCs w:val="24"/>
          <w:highlight w:val="none"/>
        </w:rPr>
        <w:t>砖砌矩形断面，长2.0m，宽</w:t>
      </w:r>
      <w:r>
        <w:rPr>
          <w:rFonts w:hint="eastAsia"/>
          <w:color w:val="auto"/>
          <w:spacing w:val="-4"/>
          <w:szCs w:val="24"/>
          <w:highlight w:val="none"/>
          <w:lang w:val="en-US" w:eastAsia="zh-CN"/>
        </w:rPr>
        <w:t>1.0</w:t>
      </w:r>
      <w:r>
        <w:rPr>
          <w:rFonts w:eastAsia="仿宋_GB2312"/>
          <w:color w:val="auto"/>
          <w:spacing w:val="-4"/>
          <w:szCs w:val="24"/>
          <w:highlight w:val="none"/>
        </w:rPr>
        <w:t>m，深</w:t>
      </w:r>
      <w:r>
        <w:rPr>
          <w:rFonts w:hint="eastAsia"/>
          <w:color w:val="auto"/>
          <w:spacing w:val="-4"/>
          <w:szCs w:val="24"/>
          <w:highlight w:val="none"/>
          <w:lang w:val="en-US" w:eastAsia="zh-CN"/>
        </w:rPr>
        <w:t>1.0</w:t>
      </w:r>
      <w:r>
        <w:rPr>
          <w:rFonts w:eastAsia="仿宋_GB2312"/>
          <w:color w:val="auto"/>
          <w:spacing w:val="-4"/>
          <w:szCs w:val="24"/>
          <w:highlight w:val="none"/>
        </w:rPr>
        <w:t>m，底部采用C</w:t>
      </w:r>
      <w:r>
        <w:rPr>
          <w:rFonts w:eastAsia="仿宋_GB2312"/>
          <w:color w:val="auto"/>
          <w:spacing w:val="-4"/>
          <w:szCs w:val="24"/>
          <w:highlight w:val="none"/>
          <w:vertAlign w:val="subscript"/>
        </w:rPr>
        <w:t>10</w:t>
      </w:r>
      <w:r>
        <w:rPr>
          <w:rFonts w:eastAsia="仿宋_GB2312"/>
          <w:color w:val="auto"/>
          <w:spacing w:val="-4"/>
          <w:szCs w:val="24"/>
          <w:highlight w:val="none"/>
        </w:rPr>
        <w:t>混凝土垫层）沉淀泥沙，减少水土流失，实施时段为202</w:t>
      </w:r>
      <w:r>
        <w:rPr>
          <w:rFonts w:hint="eastAsia"/>
          <w:color w:val="auto"/>
          <w:spacing w:val="-4"/>
          <w:szCs w:val="24"/>
          <w:highlight w:val="none"/>
          <w:lang w:val="en-US" w:eastAsia="zh-CN"/>
        </w:rPr>
        <w:t>5</w:t>
      </w:r>
      <w:r>
        <w:rPr>
          <w:rFonts w:eastAsia="仿宋_GB2312"/>
          <w:color w:val="auto"/>
          <w:spacing w:val="-4"/>
          <w:szCs w:val="24"/>
          <w:highlight w:val="none"/>
        </w:rPr>
        <w:t>年</w:t>
      </w:r>
      <w:r>
        <w:rPr>
          <w:rFonts w:hint="eastAsia"/>
          <w:color w:val="auto"/>
          <w:spacing w:val="-4"/>
          <w:szCs w:val="24"/>
          <w:highlight w:val="none"/>
          <w:lang w:val="en-US" w:eastAsia="zh-CN"/>
        </w:rPr>
        <w:t>1</w:t>
      </w:r>
      <w:r>
        <w:rPr>
          <w:rFonts w:eastAsia="仿宋_GB2312"/>
          <w:color w:val="auto"/>
          <w:spacing w:val="-4"/>
          <w:szCs w:val="24"/>
          <w:highlight w:val="none"/>
        </w:rPr>
        <w:t>月。</w:t>
      </w:r>
    </w:p>
    <w:p w14:paraId="18AE3E65">
      <w:pPr>
        <w:rPr>
          <w:rFonts w:hint="eastAsia" w:ascii="Times New Roman" w:hAnsi="Times New Roman" w:cs="Times New Roman"/>
          <w:color w:val="auto"/>
          <w:szCs w:val="24"/>
          <w:highlight w:val="none"/>
          <w:lang w:val="en-US" w:eastAsia="zh-CN"/>
        </w:rPr>
      </w:pPr>
      <w:r>
        <w:rPr>
          <w:rFonts w:hint="eastAsia" w:cs="Times New Roman"/>
          <w:color w:val="auto"/>
          <w:szCs w:val="24"/>
          <w:highlight w:val="none"/>
          <w:lang w:val="en-US" w:eastAsia="zh-CN"/>
        </w:rPr>
        <w:t>2）</w:t>
      </w:r>
      <w:r>
        <w:rPr>
          <w:rFonts w:hint="eastAsia" w:ascii="Times New Roman" w:hAnsi="Times New Roman" w:cs="Times New Roman"/>
          <w:color w:val="auto"/>
          <w:szCs w:val="24"/>
          <w:highlight w:val="none"/>
          <w:lang w:val="en-US" w:eastAsia="zh-CN"/>
        </w:rPr>
        <w:t>临时排水沟、临时沉砂池</w:t>
      </w:r>
      <w:r>
        <w:rPr>
          <w:rFonts w:hint="default" w:ascii="Times New Roman" w:hAnsi="Times New Roman" w:cs="Times New Roman"/>
          <w:snapToGrid w:val="0"/>
          <w:color w:val="auto"/>
          <w:szCs w:val="24"/>
          <w:highlight w:val="none"/>
          <w:lang w:eastAsia="zh-CN"/>
        </w:rPr>
        <w:t>（方案新增）</w:t>
      </w:r>
    </w:p>
    <w:p w14:paraId="5499411D">
      <w:pPr>
        <w:bidi w:val="0"/>
        <w:rPr>
          <w:rFonts w:hint="eastAsia" w:cs="Times New Roman"/>
          <w:snapToGrid w:val="0"/>
          <w:color w:val="auto"/>
          <w:szCs w:val="24"/>
          <w:highlight w:val="none"/>
          <w:lang w:val="en-US" w:eastAsia="zh-CN"/>
        </w:rPr>
      </w:pPr>
      <w:r>
        <w:rPr>
          <w:rFonts w:hint="eastAsia"/>
          <w:color w:val="auto"/>
          <w:highlight w:val="none"/>
          <w:lang w:val="en-US" w:eastAsia="zh-CN"/>
        </w:rPr>
        <w:t>本方案设计在道路硬化区未硬化时采取临时排水沟，为砖砌矩形结构，</w:t>
      </w:r>
      <w:r>
        <w:rPr>
          <w:rFonts w:hint="eastAsia"/>
          <w:color w:val="auto"/>
          <w:highlight w:val="none"/>
        </w:rPr>
        <w:t>排水沟尺寸为上宽0.3m，下宽0.3m，深0.4m</w:t>
      </w:r>
      <w:r>
        <w:rPr>
          <w:rFonts w:hint="eastAsia"/>
          <w:color w:val="auto"/>
          <w:highlight w:val="none"/>
          <w:lang w:eastAsia="zh-CN"/>
        </w:rPr>
        <w:t>，</w:t>
      </w:r>
      <w:r>
        <w:rPr>
          <w:rFonts w:hint="eastAsia"/>
          <w:color w:val="auto"/>
          <w:highlight w:val="none"/>
          <w:lang w:val="en-US" w:eastAsia="zh-CN"/>
        </w:rPr>
        <w:t>砂浆抹面，同时配套临时沉砂池，沉砂池为砖砌矩形结构，结构尺寸为长2.0m，宽1.0m，深1.0m。经分析共需布置排水沟500m，沉砂池2座。</w:t>
      </w:r>
      <w:r>
        <w:rPr>
          <w:rFonts w:hint="eastAsia" w:cs="Times New Roman"/>
          <w:snapToGrid w:val="0"/>
          <w:color w:val="auto"/>
          <w:szCs w:val="24"/>
          <w:highlight w:val="none"/>
          <w:lang w:val="en-US" w:eastAsia="zh-CN"/>
        </w:rPr>
        <w:t>实施时段为2025年1月-3月。</w:t>
      </w:r>
    </w:p>
    <w:p w14:paraId="60B27570">
      <w:pPr>
        <w:ind w:firstLine="464"/>
        <w:rPr>
          <w:rFonts w:hint="eastAsia" w:eastAsia="仿宋_GB2312"/>
          <w:color w:val="auto"/>
          <w:highlight w:val="none"/>
          <w:lang w:eastAsia="zh-CN"/>
        </w:rPr>
      </w:pPr>
      <w:r>
        <w:rPr>
          <w:rFonts w:hint="eastAsia"/>
          <w:color w:val="auto"/>
          <w:spacing w:val="-4"/>
          <w:szCs w:val="24"/>
          <w:highlight w:val="none"/>
          <w:lang w:val="en-US" w:eastAsia="zh-CN"/>
        </w:rPr>
        <w:t>3）</w:t>
      </w:r>
      <w:r>
        <w:rPr>
          <w:rFonts w:eastAsia="仿宋_GB2312"/>
          <w:color w:val="auto"/>
          <w:highlight w:val="none"/>
        </w:rPr>
        <w:t>防雨布遮盖</w:t>
      </w:r>
      <w:r>
        <w:rPr>
          <w:rFonts w:hint="eastAsia"/>
          <w:color w:val="auto"/>
          <w:highlight w:val="none"/>
          <w:lang w:eastAsia="zh-CN"/>
        </w:rPr>
        <w:t>（</w:t>
      </w:r>
      <w:r>
        <w:rPr>
          <w:rFonts w:hint="eastAsia"/>
          <w:color w:val="auto"/>
          <w:highlight w:val="none"/>
          <w:lang w:val="en-US" w:eastAsia="zh-CN"/>
        </w:rPr>
        <w:t>方案新增，未实施</w:t>
      </w:r>
      <w:r>
        <w:rPr>
          <w:rFonts w:hint="eastAsia"/>
          <w:color w:val="auto"/>
          <w:highlight w:val="none"/>
          <w:lang w:eastAsia="zh-CN"/>
        </w:rPr>
        <w:t>）</w:t>
      </w:r>
    </w:p>
    <w:p w14:paraId="02EB8785">
      <w:pPr>
        <w:ind w:firstLine="0"/>
        <w:rPr>
          <w:rFonts w:hint="eastAsia"/>
          <w:color w:val="auto"/>
          <w:highlight w:val="none"/>
          <w:lang w:val="en-US" w:eastAsia="zh-CN"/>
        </w:rPr>
      </w:pPr>
      <w:r>
        <w:rPr>
          <w:rFonts w:eastAsia="仿宋_GB2312"/>
          <w:color w:val="auto"/>
          <w:spacing w:val="-4"/>
          <w:szCs w:val="24"/>
          <w:highlight w:val="none"/>
        </w:rPr>
        <w:t>为防止工程未及时硬化的区域遇降雨易产生水土流失，本方案设计在裸露区域</w:t>
      </w:r>
      <w:r>
        <w:rPr>
          <w:rFonts w:hint="eastAsia"/>
          <w:color w:val="auto"/>
          <w:spacing w:val="-4"/>
          <w:szCs w:val="24"/>
          <w:highlight w:val="none"/>
          <w:lang w:val="en-US" w:eastAsia="zh-CN"/>
        </w:rPr>
        <w:t>和堆料区域</w:t>
      </w:r>
      <w:r>
        <w:rPr>
          <w:rFonts w:eastAsia="仿宋_GB2312"/>
          <w:color w:val="auto"/>
          <w:spacing w:val="-4"/>
          <w:szCs w:val="24"/>
          <w:highlight w:val="none"/>
        </w:rPr>
        <w:t>布置防雨布</w:t>
      </w:r>
      <w:r>
        <w:rPr>
          <w:rFonts w:hint="eastAsia"/>
          <w:color w:val="auto"/>
          <w:highlight w:val="none"/>
          <w:lang w:val="en-US" w:eastAsia="zh-CN"/>
        </w:rPr>
        <w:t>6000</w:t>
      </w:r>
      <w:r>
        <w:rPr>
          <w:rFonts w:eastAsia="仿宋_GB2312"/>
          <w:color w:val="auto"/>
          <w:highlight w:val="none"/>
        </w:rPr>
        <w:t>m</w:t>
      </w:r>
      <w:r>
        <w:rPr>
          <w:rFonts w:eastAsia="仿宋_GB2312"/>
          <w:color w:val="auto"/>
          <w:highlight w:val="none"/>
          <w:vertAlign w:val="superscript"/>
        </w:rPr>
        <w:t>2</w:t>
      </w:r>
      <w:r>
        <w:rPr>
          <w:rFonts w:eastAsia="仿宋_GB2312"/>
          <w:color w:val="auto"/>
          <w:highlight w:val="none"/>
        </w:rPr>
        <w:t>。</w:t>
      </w:r>
      <w:r>
        <w:rPr>
          <w:rFonts w:eastAsia="仿宋_GB2312"/>
          <w:color w:val="auto"/>
          <w:spacing w:val="-4"/>
          <w:szCs w:val="24"/>
          <w:highlight w:val="none"/>
        </w:rPr>
        <w:t>实施时段为202</w:t>
      </w:r>
      <w:r>
        <w:rPr>
          <w:rFonts w:hint="eastAsia"/>
          <w:color w:val="auto"/>
          <w:spacing w:val="-4"/>
          <w:szCs w:val="24"/>
          <w:highlight w:val="none"/>
          <w:lang w:val="en-US" w:eastAsia="zh-CN"/>
        </w:rPr>
        <w:t xml:space="preserve">5 </w:t>
      </w:r>
      <w:r>
        <w:rPr>
          <w:rFonts w:eastAsia="仿宋_GB2312"/>
          <w:color w:val="auto"/>
          <w:spacing w:val="-4"/>
          <w:szCs w:val="24"/>
          <w:highlight w:val="none"/>
        </w:rPr>
        <w:t>年</w:t>
      </w:r>
      <w:r>
        <w:rPr>
          <w:rFonts w:hint="eastAsia"/>
          <w:color w:val="auto"/>
          <w:spacing w:val="-4"/>
          <w:szCs w:val="24"/>
          <w:highlight w:val="none"/>
          <w:lang w:val="en-US" w:eastAsia="zh-CN"/>
        </w:rPr>
        <w:t>2</w:t>
      </w:r>
      <w:r>
        <w:rPr>
          <w:rFonts w:eastAsia="仿宋_GB2312"/>
          <w:color w:val="auto"/>
          <w:spacing w:val="-4"/>
          <w:szCs w:val="24"/>
          <w:highlight w:val="none"/>
        </w:rPr>
        <w:t>月</w:t>
      </w:r>
      <w:r>
        <w:rPr>
          <w:rFonts w:hint="eastAsia"/>
          <w:color w:val="auto"/>
          <w:spacing w:val="-4"/>
          <w:szCs w:val="24"/>
          <w:highlight w:val="none"/>
          <w:lang w:val="en-US" w:eastAsia="zh-CN"/>
        </w:rPr>
        <w:t>~2025年5</w:t>
      </w:r>
      <w:r>
        <w:rPr>
          <w:rFonts w:eastAsia="仿宋_GB2312"/>
          <w:color w:val="auto"/>
          <w:spacing w:val="-4"/>
          <w:szCs w:val="24"/>
          <w:highlight w:val="none"/>
        </w:rPr>
        <w:t>月。</w:t>
      </w:r>
    </w:p>
    <w:p w14:paraId="41591207">
      <w:pPr>
        <w:ind w:firstLine="0" w:firstLineChars="0"/>
        <w:outlineLvl w:val="2"/>
        <w:rPr>
          <w:rFonts w:eastAsia="仿宋_GB2312"/>
          <w:b/>
          <w:bCs/>
          <w:color w:val="auto"/>
          <w:sz w:val="28"/>
          <w:szCs w:val="28"/>
          <w:highlight w:val="none"/>
        </w:rPr>
      </w:pPr>
      <w:r>
        <w:rPr>
          <w:rFonts w:eastAsia="仿宋_GB2312"/>
          <w:b/>
          <w:bCs/>
          <w:color w:val="auto"/>
          <w:sz w:val="28"/>
          <w:szCs w:val="28"/>
          <w:highlight w:val="none"/>
        </w:rPr>
        <w:t>5.3.</w:t>
      </w:r>
      <w:r>
        <w:rPr>
          <w:rFonts w:hint="eastAsia"/>
          <w:b/>
          <w:bCs/>
          <w:color w:val="auto"/>
          <w:sz w:val="28"/>
          <w:szCs w:val="28"/>
          <w:highlight w:val="none"/>
          <w:lang w:val="en-US" w:eastAsia="zh-CN"/>
        </w:rPr>
        <w:t>3</w:t>
      </w:r>
      <w:r>
        <w:rPr>
          <w:rFonts w:eastAsia="仿宋_GB2312"/>
          <w:b/>
          <w:bCs/>
          <w:color w:val="auto"/>
          <w:sz w:val="28"/>
          <w:szCs w:val="28"/>
          <w:highlight w:val="none"/>
        </w:rPr>
        <w:t>水土保持措施工程量</w:t>
      </w:r>
    </w:p>
    <w:p w14:paraId="0CE1C3E3">
      <w:pPr>
        <w:ind w:firstLine="480"/>
        <w:rPr>
          <w:rFonts w:eastAsia="仿宋_GB2312"/>
          <w:color w:val="auto"/>
          <w:highlight w:val="none"/>
        </w:rPr>
      </w:pPr>
      <w:r>
        <w:rPr>
          <w:rFonts w:eastAsia="仿宋_GB2312"/>
          <w:color w:val="auto"/>
          <w:highlight w:val="none"/>
        </w:rPr>
        <w:t>各防治分区的水土保持措施类型及工程量详见表5.3-1。</w:t>
      </w:r>
    </w:p>
    <w:p w14:paraId="01697511">
      <w:pPr>
        <w:pStyle w:val="35"/>
        <w:bidi w:val="0"/>
      </w:pPr>
    </w:p>
    <w:p w14:paraId="4E208471">
      <w:pPr>
        <w:pStyle w:val="35"/>
        <w:bidi w:val="0"/>
      </w:pPr>
    </w:p>
    <w:p w14:paraId="55C38C90">
      <w:pPr>
        <w:pStyle w:val="35"/>
        <w:bidi w:val="0"/>
      </w:pPr>
      <w:r>
        <w:t>表5.3-</w:t>
      </w:r>
      <w:r>
        <w:rPr>
          <w:rFonts w:hint="eastAsia"/>
          <w:lang w:val="en-US" w:eastAsia="zh-CN"/>
        </w:rPr>
        <w:t>1</w:t>
      </w:r>
      <w:r>
        <w:t>本项目水土保持措施工程量汇总表</w:t>
      </w:r>
    </w:p>
    <w:tbl>
      <w:tblPr>
        <w:tblStyle w:val="25"/>
        <w:tblW w:w="490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480"/>
        <w:gridCol w:w="936"/>
        <w:gridCol w:w="1117"/>
        <w:gridCol w:w="903"/>
        <w:gridCol w:w="1274"/>
        <w:gridCol w:w="1274"/>
        <w:gridCol w:w="1135"/>
      </w:tblGrid>
      <w:tr w14:paraId="6AEF8B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6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3AEDA">
            <w:pPr>
              <w:pStyle w:val="34"/>
              <w:bidi w:val="0"/>
            </w:pPr>
            <w:r>
              <w:rPr>
                <w:rFonts w:hint="eastAsia"/>
                <w:lang w:val="en-US" w:eastAsia="zh-CN"/>
              </w:rPr>
              <w:t>项目组成</w:t>
            </w:r>
          </w:p>
        </w:tc>
        <w:tc>
          <w:tcPr>
            <w:tcW w:w="1125" w:type="pct"/>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6243A">
            <w:pPr>
              <w:pStyle w:val="34"/>
              <w:bidi w:val="0"/>
              <w:rPr>
                <w:rFonts w:hint="eastAsia"/>
              </w:rPr>
            </w:pPr>
            <w:r>
              <w:rPr>
                <w:rFonts w:hint="eastAsia"/>
                <w:lang w:val="en-US" w:eastAsia="zh-CN"/>
              </w:rPr>
              <w:t>措施类型</w:t>
            </w:r>
          </w:p>
        </w:tc>
        <w:tc>
          <w:tcPr>
            <w:tcW w:w="4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FB5402">
            <w:pPr>
              <w:pStyle w:val="34"/>
              <w:bidi w:val="0"/>
              <w:rPr>
                <w:rFonts w:hint="eastAsia"/>
              </w:rPr>
            </w:pPr>
            <w:r>
              <w:rPr>
                <w:rFonts w:hint="eastAsia"/>
                <w:lang w:val="en-US" w:eastAsia="zh-CN"/>
              </w:rPr>
              <w:t>单位</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20F4A6">
            <w:pPr>
              <w:pStyle w:val="34"/>
              <w:bidi w:val="0"/>
              <w:rPr>
                <w:rFonts w:hint="eastAsia"/>
              </w:rPr>
            </w:pPr>
            <w:r>
              <w:rPr>
                <w:rFonts w:hint="eastAsia"/>
                <w:lang w:val="en-US" w:eastAsia="zh-CN"/>
              </w:rPr>
              <w:t>数量</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092A55">
            <w:pPr>
              <w:pStyle w:val="34"/>
              <w:bidi w:val="0"/>
              <w:rPr>
                <w:rFonts w:hint="eastAsia"/>
              </w:rPr>
            </w:pPr>
            <w:r>
              <w:rPr>
                <w:rFonts w:hint="eastAsia"/>
                <w:lang w:val="en-US" w:eastAsia="zh-CN"/>
              </w:rPr>
              <w:t>投资属性</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22394">
            <w:pPr>
              <w:pStyle w:val="34"/>
              <w:bidi w:val="0"/>
              <w:rPr>
                <w:rFonts w:hint="eastAsia"/>
              </w:rPr>
            </w:pPr>
            <w:r>
              <w:rPr>
                <w:rFonts w:hint="eastAsia"/>
                <w:lang w:val="en-US" w:eastAsia="zh-CN"/>
              </w:rPr>
              <w:t>实施情况</w:t>
            </w:r>
          </w:p>
        </w:tc>
      </w:tr>
      <w:tr w14:paraId="519C2D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6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B203EA">
            <w:pPr>
              <w:pStyle w:val="34"/>
              <w:bidi w:val="0"/>
              <w:rPr>
                <w:rFonts w:hint="eastAsia"/>
              </w:rPr>
            </w:pPr>
            <w:r>
              <w:rPr>
                <w:rFonts w:hint="eastAsia"/>
                <w:lang w:val="en-US" w:eastAsia="zh-CN"/>
              </w:rPr>
              <w:t>建构筑物区</w:t>
            </w:r>
          </w:p>
        </w:tc>
        <w:tc>
          <w:tcPr>
            <w:tcW w:w="51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437E09">
            <w:pPr>
              <w:pStyle w:val="34"/>
              <w:bidi w:val="0"/>
              <w:rPr>
                <w:rFonts w:hint="eastAsia"/>
              </w:rPr>
            </w:pPr>
            <w:r>
              <w:rPr>
                <w:rFonts w:hint="eastAsia"/>
                <w:lang w:val="en-US" w:eastAsia="zh-CN"/>
              </w:rPr>
              <w:t>临时措施</w:t>
            </w:r>
          </w:p>
        </w:tc>
        <w:tc>
          <w:tcPr>
            <w:tcW w:w="61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5A2982">
            <w:pPr>
              <w:pStyle w:val="34"/>
              <w:bidi w:val="0"/>
              <w:rPr>
                <w:rFonts w:hint="eastAsia"/>
              </w:rPr>
            </w:pPr>
            <w:r>
              <w:rPr>
                <w:rFonts w:hint="eastAsia"/>
                <w:lang w:val="en-US" w:eastAsia="zh-CN"/>
              </w:rPr>
              <w:t>防雨布遮盖</w:t>
            </w:r>
          </w:p>
        </w:tc>
        <w:tc>
          <w:tcPr>
            <w:tcW w:w="49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565838">
            <w:pPr>
              <w:pStyle w:val="34"/>
              <w:bidi w:val="0"/>
              <w:rPr>
                <w:rFonts w:hint="default"/>
              </w:rPr>
            </w:pPr>
            <w:r>
              <w:rPr>
                <w:rFonts w:hint="default"/>
                <w:lang w:val="en-US" w:eastAsia="zh-CN"/>
              </w:rPr>
              <w:t>m²</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5EEB30">
            <w:pPr>
              <w:pStyle w:val="34"/>
              <w:bidi w:val="0"/>
              <w:rPr>
                <w:rFonts w:hint="default"/>
              </w:rPr>
            </w:pPr>
            <w:r>
              <w:rPr>
                <w:rFonts w:hint="default"/>
                <w:lang w:val="en-US" w:eastAsia="zh-CN"/>
              </w:rPr>
              <w:t>15000</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D0062">
            <w:pPr>
              <w:pStyle w:val="34"/>
              <w:bidi w:val="0"/>
              <w:rPr>
                <w:rFonts w:hint="eastAsia"/>
              </w:rPr>
            </w:pPr>
            <w:r>
              <w:rPr>
                <w:rFonts w:hint="eastAsia"/>
                <w:lang w:val="en-US" w:eastAsia="zh-CN"/>
              </w:rPr>
              <w:t>方案新增</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372AA4">
            <w:pPr>
              <w:pStyle w:val="34"/>
              <w:bidi w:val="0"/>
              <w:rPr>
                <w:rFonts w:hint="eastAsia"/>
              </w:rPr>
            </w:pPr>
            <w:r>
              <w:rPr>
                <w:rFonts w:hint="eastAsia"/>
                <w:lang w:val="en-US" w:eastAsia="zh-CN"/>
              </w:rPr>
              <w:t>未实施</w:t>
            </w:r>
          </w:p>
        </w:tc>
      </w:tr>
      <w:tr w14:paraId="1C4E53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60"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53C0BF">
            <w:pPr>
              <w:pStyle w:val="34"/>
              <w:bidi w:val="0"/>
              <w:rPr>
                <w:rFonts w:hint="eastAsia"/>
              </w:rPr>
            </w:pPr>
            <w:r>
              <w:rPr>
                <w:rFonts w:hint="eastAsia"/>
                <w:lang w:val="en-US" w:eastAsia="zh-CN"/>
              </w:rPr>
              <w:t>道路硬化区</w:t>
            </w:r>
          </w:p>
        </w:tc>
        <w:tc>
          <w:tcPr>
            <w:tcW w:w="513"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F998B5">
            <w:pPr>
              <w:pStyle w:val="34"/>
              <w:bidi w:val="0"/>
              <w:rPr>
                <w:rFonts w:hint="eastAsia"/>
              </w:rPr>
            </w:pPr>
            <w:r>
              <w:rPr>
                <w:rFonts w:hint="eastAsia"/>
                <w:lang w:val="en-US" w:eastAsia="zh-CN"/>
              </w:rPr>
              <w:t>工程措施</w:t>
            </w:r>
          </w:p>
        </w:tc>
        <w:tc>
          <w:tcPr>
            <w:tcW w:w="6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1834A">
            <w:pPr>
              <w:pStyle w:val="34"/>
              <w:bidi w:val="0"/>
              <w:rPr>
                <w:rFonts w:hint="eastAsia"/>
              </w:rPr>
            </w:pPr>
            <w:r>
              <w:rPr>
                <w:rFonts w:hint="eastAsia"/>
                <w:lang w:val="en-US" w:eastAsia="zh-CN"/>
              </w:rPr>
              <w:t>雨水管</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12EF8D">
            <w:pPr>
              <w:pStyle w:val="34"/>
              <w:bidi w:val="0"/>
              <w:rPr>
                <w:rFonts w:hint="default"/>
              </w:rPr>
            </w:pPr>
            <w:r>
              <w:rPr>
                <w:rFonts w:hint="default"/>
                <w:lang w:val="en-US" w:eastAsia="zh-CN"/>
              </w:rPr>
              <w:t>m</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A5A93">
            <w:pPr>
              <w:pStyle w:val="34"/>
              <w:bidi w:val="0"/>
              <w:rPr>
                <w:rFonts w:hint="default"/>
              </w:rPr>
            </w:pPr>
            <w:r>
              <w:rPr>
                <w:rFonts w:hint="default"/>
                <w:lang w:val="en-US" w:eastAsia="zh-CN"/>
              </w:rPr>
              <w:t>1600</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C872D">
            <w:pPr>
              <w:pStyle w:val="34"/>
              <w:bidi w:val="0"/>
              <w:rPr>
                <w:rFonts w:hint="eastAsia"/>
              </w:rPr>
            </w:pPr>
            <w:r>
              <w:rPr>
                <w:rFonts w:hint="eastAsia"/>
                <w:lang w:val="en-US" w:eastAsia="zh-CN"/>
              </w:rPr>
              <w:t>主体已有</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E35E6A">
            <w:pPr>
              <w:pStyle w:val="34"/>
              <w:bidi w:val="0"/>
              <w:rPr>
                <w:rFonts w:hint="eastAsia"/>
              </w:rPr>
            </w:pPr>
            <w:r>
              <w:rPr>
                <w:rFonts w:hint="eastAsia"/>
                <w:lang w:val="en-US" w:eastAsia="zh-CN"/>
              </w:rPr>
              <w:t>未实施</w:t>
            </w:r>
          </w:p>
        </w:tc>
      </w:tr>
      <w:tr w14:paraId="35FBEA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44AEB">
            <w:pPr>
              <w:pStyle w:val="34"/>
              <w:bidi w:val="0"/>
              <w:rPr>
                <w:rFonts w:hint="eastAsia"/>
              </w:rPr>
            </w:pPr>
          </w:p>
        </w:tc>
        <w:tc>
          <w:tcPr>
            <w:tcW w:w="513"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78A0EB">
            <w:pPr>
              <w:pStyle w:val="34"/>
              <w:bidi w:val="0"/>
              <w:rPr>
                <w:rFonts w:hint="eastAsia"/>
              </w:rPr>
            </w:pPr>
          </w:p>
        </w:tc>
        <w:tc>
          <w:tcPr>
            <w:tcW w:w="6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92814">
            <w:pPr>
              <w:pStyle w:val="34"/>
              <w:bidi w:val="0"/>
              <w:rPr>
                <w:rFonts w:hint="eastAsia"/>
              </w:rPr>
            </w:pPr>
            <w:r>
              <w:rPr>
                <w:rFonts w:hint="eastAsia"/>
                <w:lang w:val="en-US" w:eastAsia="zh-CN"/>
              </w:rPr>
              <w:t>单篦雨水口</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B64E1">
            <w:pPr>
              <w:pStyle w:val="34"/>
              <w:bidi w:val="0"/>
              <w:rPr>
                <w:rFonts w:hint="eastAsia"/>
              </w:rPr>
            </w:pPr>
            <w:r>
              <w:rPr>
                <w:rFonts w:hint="eastAsia"/>
                <w:lang w:val="en-US" w:eastAsia="zh-CN"/>
              </w:rPr>
              <w:t>口</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CFA9AA">
            <w:pPr>
              <w:pStyle w:val="34"/>
              <w:bidi w:val="0"/>
              <w:rPr>
                <w:rFonts w:hint="default"/>
              </w:rPr>
            </w:pPr>
            <w:r>
              <w:rPr>
                <w:rFonts w:hint="default"/>
                <w:lang w:val="en-US" w:eastAsia="zh-CN"/>
              </w:rPr>
              <w:t>50</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38B3F">
            <w:pPr>
              <w:pStyle w:val="34"/>
              <w:bidi w:val="0"/>
              <w:rPr>
                <w:rFonts w:hint="eastAsia"/>
              </w:rPr>
            </w:pPr>
            <w:r>
              <w:rPr>
                <w:rFonts w:hint="eastAsia"/>
                <w:lang w:val="en-US" w:eastAsia="zh-CN"/>
              </w:rPr>
              <w:t>主体已有</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23611">
            <w:pPr>
              <w:pStyle w:val="34"/>
              <w:bidi w:val="0"/>
              <w:rPr>
                <w:rFonts w:hint="eastAsia"/>
              </w:rPr>
            </w:pPr>
            <w:r>
              <w:rPr>
                <w:rFonts w:hint="eastAsia"/>
                <w:lang w:val="en-US" w:eastAsia="zh-CN"/>
              </w:rPr>
              <w:t>未实施</w:t>
            </w:r>
          </w:p>
        </w:tc>
      </w:tr>
      <w:tr w14:paraId="721582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4C26A">
            <w:pPr>
              <w:pStyle w:val="34"/>
              <w:bidi w:val="0"/>
              <w:rPr>
                <w:rFonts w:hint="eastAsia"/>
              </w:rPr>
            </w:pPr>
          </w:p>
        </w:tc>
        <w:tc>
          <w:tcPr>
            <w:tcW w:w="51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85BB355">
            <w:pPr>
              <w:pStyle w:val="34"/>
              <w:bidi w:val="0"/>
              <w:rPr>
                <w:rFonts w:hint="eastAsia"/>
              </w:rPr>
            </w:pPr>
            <w:r>
              <w:rPr>
                <w:rFonts w:hint="eastAsia"/>
                <w:lang w:val="en-US" w:eastAsia="zh-CN"/>
              </w:rPr>
              <w:t>临时措施</w:t>
            </w:r>
          </w:p>
        </w:tc>
        <w:tc>
          <w:tcPr>
            <w:tcW w:w="6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6DAA0">
            <w:pPr>
              <w:pStyle w:val="34"/>
              <w:bidi w:val="0"/>
              <w:rPr>
                <w:rFonts w:hint="eastAsia"/>
              </w:rPr>
            </w:pPr>
            <w:r>
              <w:rPr>
                <w:rFonts w:hint="eastAsia"/>
                <w:lang w:val="en-US" w:eastAsia="zh-CN"/>
              </w:rPr>
              <w:t>洗车系统</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CDFDD">
            <w:pPr>
              <w:pStyle w:val="34"/>
              <w:bidi w:val="0"/>
              <w:rPr>
                <w:rFonts w:hint="eastAsia"/>
              </w:rPr>
            </w:pPr>
            <w:r>
              <w:rPr>
                <w:rFonts w:hint="eastAsia"/>
                <w:lang w:val="en-US" w:eastAsia="zh-CN"/>
              </w:rPr>
              <w:t>座</w:t>
            </w:r>
          </w:p>
        </w:tc>
        <w:tc>
          <w:tcPr>
            <w:tcW w:w="6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3EEAF">
            <w:pPr>
              <w:pStyle w:val="34"/>
              <w:bidi w:val="0"/>
              <w:rPr>
                <w:rFonts w:hint="default"/>
              </w:rPr>
            </w:pPr>
            <w:r>
              <w:rPr>
                <w:rFonts w:hint="default"/>
                <w:lang w:val="en-US" w:eastAsia="zh-CN"/>
              </w:rPr>
              <w:t>1</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48E20">
            <w:pPr>
              <w:pStyle w:val="34"/>
              <w:bidi w:val="0"/>
              <w:rPr>
                <w:rFonts w:hint="eastAsia"/>
              </w:rPr>
            </w:pPr>
            <w:r>
              <w:rPr>
                <w:rFonts w:hint="eastAsia"/>
                <w:lang w:val="en-US" w:eastAsia="zh-CN"/>
              </w:rPr>
              <w:t>方案新增</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CCAC47">
            <w:pPr>
              <w:pStyle w:val="34"/>
              <w:bidi w:val="0"/>
              <w:rPr>
                <w:rFonts w:hint="eastAsia"/>
              </w:rPr>
            </w:pPr>
            <w:r>
              <w:rPr>
                <w:rFonts w:hint="eastAsia"/>
                <w:lang w:val="en-US" w:eastAsia="zh-CN"/>
              </w:rPr>
              <w:t>未实施</w:t>
            </w:r>
          </w:p>
        </w:tc>
      </w:tr>
      <w:tr w14:paraId="4316A4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3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9F8E4">
            <w:pPr>
              <w:pStyle w:val="34"/>
              <w:bidi w:val="0"/>
              <w:rPr>
                <w:rFonts w:hint="eastAsia"/>
              </w:rPr>
            </w:pPr>
          </w:p>
        </w:tc>
        <w:tc>
          <w:tcPr>
            <w:tcW w:w="5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56FB78">
            <w:pPr>
              <w:pStyle w:val="34"/>
              <w:bidi w:val="0"/>
              <w:rPr>
                <w:rFonts w:hint="eastAsia"/>
              </w:rPr>
            </w:pPr>
          </w:p>
        </w:tc>
        <w:tc>
          <w:tcPr>
            <w:tcW w:w="6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C3A65C">
            <w:pPr>
              <w:pStyle w:val="34"/>
              <w:bidi w:val="0"/>
              <w:rPr>
                <w:rFonts w:hint="eastAsia"/>
              </w:rPr>
            </w:pPr>
            <w:r>
              <w:rPr>
                <w:rFonts w:hint="eastAsia"/>
                <w:lang w:val="en-US" w:eastAsia="zh-CN"/>
              </w:rPr>
              <w:t>临时排水沟</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330A3">
            <w:pPr>
              <w:pStyle w:val="34"/>
              <w:bidi w:val="0"/>
              <w:rPr>
                <w:rFonts w:hint="default"/>
              </w:rPr>
            </w:pPr>
            <w:r>
              <w:rPr>
                <w:rFonts w:hint="default"/>
                <w:lang w:val="en-US" w:eastAsia="zh-CN"/>
              </w:rPr>
              <w:t>m</w:t>
            </w:r>
          </w:p>
        </w:tc>
        <w:tc>
          <w:tcPr>
            <w:tcW w:w="6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ECEACC">
            <w:pPr>
              <w:pStyle w:val="34"/>
              <w:bidi w:val="0"/>
              <w:rPr>
                <w:rFonts w:hint="default"/>
              </w:rPr>
            </w:pPr>
            <w:r>
              <w:rPr>
                <w:rFonts w:hint="default"/>
                <w:lang w:val="en-US" w:eastAsia="zh-CN"/>
              </w:rPr>
              <w:t>500</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7A593">
            <w:pPr>
              <w:pStyle w:val="34"/>
              <w:bidi w:val="0"/>
              <w:rPr>
                <w:rFonts w:hint="eastAsia"/>
              </w:rPr>
            </w:pPr>
            <w:r>
              <w:rPr>
                <w:rFonts w:hint="eastAsia"/>
                <w:lang w:val="en-US" w:eastAsia="zh-CN"/>
              </w:rPr>
              <w:t>方案新增</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7AB71">
            <w:pPr>
              <w:pStyle w:val="34"/>
              <w:bidi w:val="0"/>
              <w:rPr>
                <w:rFonts w:hint="eastAsia"/>
              </w:rPr>
            </w:pPr>
            <w:r>
              <w:rPr>
                <w:rFonts w:hint="eastAsia"/>
                <w:lang w:val="en-US" w:eastAsia="zh-CN"/>
              </w:rPr>
              <w:t>未实施</w:t>
            </w:r>
          </w:p>
        </w:tc>
      </w:tr>
      <w:tr w14:paraId="0E4307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6DC83">
            <w:pPr>
              <w:pStyle w:val="34"/>
              <w:bidi w:val="0"/>
              <w:rPr>
                <w:rFonts w:hint="eastAsia"/>
              </w:rPr>
            </w:pPr>
          </w:p>
        </w:tc>
        <w:tc>
          <w:tcPr>
            <w:tcW w:w="5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55AAE8">
            <w:pPr>
              <w:pStyle w:val="34"/>
              <w:bidi w:val="0"/>
              <w:rPr>
                <w:rFonts w:hint="eastAsia"/>
              </w:rPr>
            </w:pPr>
          </w:p>
        </w:tc>
        <w:tc>
          <w:tcPr>
            <w:tcW w:w="6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2F56AE">
            <w:pPr>
              <w:pStyle w:val="34"/>
              <w:bidi w:val="0"/>
              <w:rPr>
                <w:rFonts w:hint="eastAsia"/>
              </w:rPr>
            </w:pPr>
            <w:r>
              <w:rPr>
                <w:rFonts w:hint="eastAsia"/>
                <w:lang w:val="en-US" w:eastAsia="zh-CN"/>
              </w:rPr>
              <w:t>临时沉砂池</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09E380">
            <w:pPr>
              <w:pStyle w:val="34"/>
              <w:bidi w:val="0"/>
              <w:rPr>
                <w:rFonts w:hint="eastAsia"/>
              </w:rPr>
            </w:pPr>
            <w:r>
              <w:rPr>
                <w:rFonts w:hint="eastAsia"/>
                <w:lang w:val="en-US" w:eastAsia="zh-CN"/>
              </w:rPr>
              <w:t>口</w:t>
            </w:r>
          </w:p>
        </w:tc>
        <w:tc>
          <w:tcPr>
            <w:tcW w:w="6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CD408">
            <w:pPr>
              <w:pStyle w:val="34"/>
              <w:bidi w:val="0"/>
              <w:rPr>
                <w:rFonts w:hint="default"/>
              </w:rPr>
            </w:pPr>
            <w:r>
              <w:rPr>
                <w:rFonts w:hint="default"/>
                <w:lang w:val="en-US" w:eastAsia="zh-CN"/>
              </w:rPr>
              <w:t>2</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B57EF9">
            <w:pPr>
              <w:pStyle w:val="34"/>
              <w:bidi w:val="0"/>
              <w:rPr>
                <w:rFonts w:hint="eastAsia"/>
              </w:rPr>
            </w:pPr>
            <w:r>
              <w:rPr>
                <w:rFonts w:hint="eastAsia"/>
                <w:lang w:val="en-US" w:eastAsia="zh-CN"/>
              </w:rPr>
              <w:t>方案新增</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274F09">
            <w:pPr>
              <w:pStyle w:val="34"/>
              <w:bidi w:val="0"/>
              <w:rPr>
                <w:rFonts w:hint="eastAsia"/>
              </w:rPr>
            </w:pPr>
            <w:r>
              <w:rPr>
                <w:rFonts w:hint="eastAsia"/>
                <w:lang w:val="en-US" w:eastAsia="zh-CN"/>
              </w:rPr>
              <w:t>未实施</w:t>
            </w:r>
          </w:p>
        </w:tc>
      </w:tr>
      <w:tr w14:paraId="266257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1360"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D71E4C">
            <w:pPr>
              <w:pStyle w:val="34"/>
              <w:bidi w:val="0"/>
              <w:rPr>
                <w:rFonts w:hint="eastAsia"/>
              </w:rPr>
            </w:pPr>
          </w:p>
        </w:tc>
        <w:tc>
          <w:tcPr>
            <w:tcW w:w="51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6A4FAA">
            <w:pPr>
              <w:pStyle w:val="34"/>
              <w:bidi w:val="0"/>
              <w:rPr>
                <w:rFonts w:hint="eastAsia"/>
              </w:rPr>
            </w:pPr>
          </w:p>
        </w:tc>
        <w:tc>
          <w:tcPr>
            <w:tcW w:w="61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0D3F4">
            <w:pPr>
              <w:pStyle w:val="34"/>
              <w:bidi w:val="0"/>
              <w:rPr>
                <w:rFonts w:hint="eastAsia"/>
              </w:rPr>
            </w:pPr>
            <w:r>
              <w:rPr>
                <w:rFonts w:hint="eastAsia"/>
                <w:lang w:val="en-US" w:eastAsia="zh-CN"/>
              </w:rPr>
              <w:t>防雨布遮盖</w:t>
            </w:r>
          </w:p>
        </w:tc>
        <w:tc>
          <w:tcPr>
            <w:tcW w:w="4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49E62">
            <w:pPr>
              <w:pStyle w:val="34"/>
              <w:bidi w:val="0"/>
              <w:rPr>
                <w:rFonts w:hint="default"/>
              </w:rPr>
            </w:pPr>
            <w:r>
              <w:rPr>
                <w:rFonts w:hint="default"/>
                <w:lang w:val="en-US" w:eastAsia="zh-CN"/>
              </w:rPr>
              <w:t>m²</w:t>
            </w:r>
          </w:p>
        </w:tc>
        <w:tc>
          <w:tcPr>
            <w:tcW w:w="6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BAC37">
            <w:pPr>
              <w:pStyle w:val="34"/>
              <w:bidi w:val="0"/>
              <w:rPr>
                <w:rFonts w:hint="default"/>
              </w:rPr>
            </w:pPr>
            <w:r>
              <w:rPr>
                <w:rFonts w:hint="default"/>
                <w:lang w:val="en-US" w:eastAsia="zh-CN"/>
              </w:rPr>
              <w:t>20000</w:t>
            </w:r>
          </w:p>
        </w:tc>
        <w:tc>
          <w:tcPr>
            <w:tcW w:w="6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23D28">
            <w:pPr>
              <w:pStyle w:val="34"/>
              <w:bidi w:val="0"/>
              <w:rPr>
                <w:rFonts w:hint="eastAsia"/>
              </w:rPr>
            </w:pPr>
            <w:r>
              <w:rPr>
                <w:rFonts w:hint="eastAsia"/>
                <w:lang w:val="en-US" w:eastAsia="zh-CN"/>
              </w:rPr>
              <w:t>方案新增</w:t>
            </w:r>
          </w:p>
        </w:tc>
        <w:tc>
          <w:tcPr>
            <w:tcW w:w="62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EE357">
            <w:pPr>
              <w:pStyle w:val="34"/>
              <w:bidi w:val="0"/>
              <w:rPr>
                <w:rFonts w:hint="eastAsia"/>
              </w:rPr>
            </w:pPr>
            <w:r>
              <w:rPr>
                <w:rFonts w:hint="eastAsia"/>
                <w:lang w:val="en-US" w:eastAsia="zh-CN"/>
              </w:rPr>
              <w:t>未实施</w:t>
            </w:r>
          </w:p>
        </w:tc>
      </w:tr>
    </w:tbl>
    <w:p w14:paraId="40736B82">
      <w:pPr>
        <w:pStyle w:val="3"/>
        <w:rPr>
          <w:color w:val="auto"/>
        </w:rPr>
      </w:pPr>
      <w:bookmarkStart w:id="135" w:name="_Toc30465"/>
      <w:r>
        <w:rPr>
          <w:rFonts w:hint="eastAsia"/>
          <w:color w:val="auto"/>
        </w:rPr>
        <w:t>5.4施工要求</w:t>
      </w:r>
      <w:bookmarkEnd w:id="135"/>
    </w:p>
    <w:p w14:paraId="54F899A2">
      <w:pPr>
        <w:pStyle w:val="5"/>
        <w:rPr>
          <w:color w:val="auto"/>
        </w:rPr>
      </w:pPr>
      <w:r>
        <w:rPr>
          <w:rFonts w:hint="eastAsia"/>
          <w:color w:val="auto"/>
        </w:rPr>
        <w:t>5.4.1</w:t>
      </w:r>
      <w:r>
        <w:rPr>
          <w:color w:val="auto"/>
        </w:rPr>
        <w:t>设计原则</w:t>
      </w:r>
    </w:p>
    <w:p w14:paraId="095BEE6A">
      <w:pPr>
        <w:widowControl/>
        <w:numPr>
          <w:ilvl w:val="0"/>
          <w:numId w:val="14"/>
        </w:numPr>
        <w:snapToGrid w:val="0"/>
        <w:ind w:left="0" w:firstLine="480"/>
        <w:rPr>
          <w:color w:val="auto"/>
        </w:rPr>
      </w:pPr>
      <w:r>
        <w:rPr>
          <w:color w:val="auto"/>
        </w:rPr>
        <w:t>与主体工程相配合、协调，在不影响主体工程施工的前提下，尽可能利用当地已有的水、电、交通等施工条件，减少施工辅助设施工程量。</w:t>
      </w:r>
    </w:p>
    <w:p w14:paraId="71EB3109">
      <w:pPr>
        <w:widowControl/>
        <w:numPr>
          <w:ilvl w:val="0"/>
          <w:numId w:val="14"/>
        </w:numPr>
        <w:snapToGrid w:val="0"/>
        <w:ind w:left="0" w:firstLine="480"/>
        <w:rPr>
          <w:color w:val="auto"/>
        </w:rPr>
      </w:pPr>
      <w:r>
        <w:rPr>
          <w:color w:val="auto"/>
        </w:rPr>
        <w:t>按照“三同时”的原则，水土保持措施实施进度与主体工程建设进度相适应，及时防治新增水土流失。</w:t>
      </w:r>
    </w:p>
    <w:p w14:paraId="19FCDCA6">
      <w:pPr>
        <w:widowControl/>
        <w:numPr>
          <w:ilvl w:val="0"/>
          <w:numId w:val="14"/>
        </w:numPr>
        <w:snapToGrid w:val="0"/>
        <w:ind w:left="0" w:firstLine="480"/>
        <w:rPr>
          <w:color w:val="auto"/>
        </w:rPr>
      </w:pPr>
      <w:r>
        <w:rPr>
          <w:color w:val="auto"/>
        </w:rPr>
        <w:t>施工进度安排坚持“保护优先、先挡后弃、及时跟进”的原则，按原占地类型及时进行恢复</w:t>
      </w:r>
      <w:r>
        <w:rPr>
          <w:rFonts w:hint="eastAsia"/>
          <w:color w:val="auto"/>
          <w:lang w:eastAsia="zh-CN"/>
        </w:rPr>
        <w:t>。</w:t>
      </w:r>
    </w:p>
    <w:p w14:paraId="1285C258">
      <w:pPr>
        <w:pStyle w:val="5"/>
        <w:rPr>
          <w:color w:val="auto"/>
        </w:rPr>
      </w:pPr>
      <w:bookmarkStart w:id="136" w:name="_Toc418004944"/>
      <w:r>
        <w:rPr>
          <w:rFonts w:hint="eastAsia"/>
          <w:color w:val="auto"/>
        </w:rPr>
        <w:t>5.4.2</w:t>
      </w:r>
      <w:r>
        <w:rPr>
          <w:color w:val="auto"/>
        </w:rPr>
        <w:t>施工条件</w:t>
      </w:r>
      <w:bookmarkEnd w:id="136"/>
    </w:p>
    <w:p w14:paraId="11805206">
      <w:pPr>
        <w:widowControl/>
        <w:ind w:firstLine="480"/>
        <w:rPr>
          <w:color w:val="auto"/>
        </w:rPr>
      </w:pPr>
      <w:r>
        <w:rPr>
          <w:color w:val="auto"/>
        </w:rPr>
        <w:t>本工程材料运输依托现有</w:t>
      </w:r>
      <w:r>
        <w:rPr>
          <w:rFonts w:hint="eastAsia"/>
          <w:color w:val="auto"/>
          <w:lang w:eastAsia="zh-CN"/>
        </w:rPr>
        <w:t>市政</w:t>
      </w:r>
      <w:r>
        <w:rPr>
          <w:rFonts w:hint="eastAsia"/>
          <w:color w:val="auto"/>
        </w:rPr>
        <w:t>道路</w:t>
      </w:r>
      <w:r>
        <w:rPr>
          <w:color w:val="auto"/>
        </w:rPr>
        <w:t>，能够满足施工要求。主体工程交通、给水、供电等施工条件，能满足水土保持工程施工和生活用水的需要。</w:t>
      </w:r>
    </w:p>
    <w:p w14:paraId="5B91C815">
      <w:pPr>
        <w:pStyle w:val="5"/>
        <w:rPr>
          <w:color w:val="auto"/>
        </w:rPr>
      </w:pPr>
      <w:bookmarkStart w:id="137" w:name="_Toc278552660"/>
      <w:bookmarkStart w:id="138" w:name="_Toc310457397"/>
      <w:bookmarkStart w:id="139" w:name="_Toc177154712"/>
      <w:bookmarkStart w:id="140" w:name="_Toc197155837"/>
      <w:bookmarkStart w:id="141" w:name="_Toc197155662"/>
      <w:bookmarkStart w:id="142" w:name="_Toc308551000"/>
      <w:bookmarkStart w:id="143" w:name="_Toc197156362"/>
      <w:bookmarkStart w:id="144" w:name="_Toc308550636"/>
      <w:bookmarkStart w:id="145" w:name="_Toc289379015"/>
      <w:bookmarkStart w:id="146" w:name="_Toc175034584"/>
      <w:bookmarkStart w:id="147" w:name="_Toc197156012"/>
      <w:r>
        <w:rPr>
          <w:rFonts w:hint="eastAsia"/>
          <w:color w:val="auto"/>
        </w:rPr>
        <w:t>5.4.3</w:t>
      </w:r>
      <w:r>
        <w:rPr>
          <w:color w:val="auto"/>
        </w:rPr>
        <w:t>施工组织形式</w:t>
      </w:r>
      <w:bookmarkEnd w:id="137"/>
      <w:bookmarkEnd w:id="138"/>
      <w:bookmarkEnd w:id="139"/>
      <w:bookmarkEnd w:id="140"/>
      <w:bookmarkEnd w:id="141"/>
      <w:bookmarkEnd w:id="142"/>
      <w:bookmarkEnd w:id="143"/>
      <w:bookmarkEnd w:id="144"/>
      <w:bookmarkEnd w:id="145"/>
      <w:bookmarkEnd w:id="146"/>
      <w:bookmarkEnd w:id="147"/>
    </w:p>
    <w:p w14:paraId="0F0E5D5B">
      <w:pPr>
        <w:ind w:firstLine="480"/>
        <w:rPr>
          <w:color w:val="auto"/>
        </w:rPr>
      </w:pPr>
      <w:r>
        <w:rPr>
          <w:color w:val="auto"/>
        </w:rPr>
        <w:t>本方案防治措施主要</w:t>
      </w:r>
      <w:r>
        <w:rPr>
          <w:rFonts w:hint="eastAsia"/>
          <w:color w:val="auto"/>
        </w:rPr>
        <w:t>为工程措施、临时措施</w:t>
      </w:r>
      <w:r>
        <w:rPr>
          <w:color w:val="auto"/>
        </w:rPr>
        <w:t>，施工时应根据各防治区域安排各施工工序，减少或避免各工序间的相互干扰，减少开挖量和回填量，缩小裸露面积和减少裸露时间，防止重复开挖和土方多次倒运，遇暴雨或大风天气应该加强临时防护，雨季填筑土石方时应随挖、随运、随填、随压，避免产生水土流失。</w:t>
      </w:r>
    </w:p>
    <w:p w14:paraId="2B4E8F60">
      <w:pPr>
        <w:ind w:firstLine="480"/>
        <w:rPr>
          <w:color w:val="auto"/>
        </w:rPr>
      </w:pPr>
      <w:r>
        <w:rPr>
          <w:color w:val="auto"/>
        </w:rPr>
        <w:t>施工开挖、填筑等裸露面，应该采取临时拦挡、排水等措施，防止因降雨而产生地表径流无序漫流。</w:t>
      </w:r>
    </w:p>
    <w:p w14:paraId="1DB5911B">
      <w:pPr>
        <w:pStyle w:val="5"/>
        <w:rPr>
          <w:color w:val="auto"/>
        </w:rPr>
      </w:pPr>
      <w:bookmarkStart w:id="148" w:name="_Toc329588325"/>
      <w:r>
        <w:rPr>
          <w:rFonts w:hint="eastAsia"/>
          <w:color w:val="auto"/>
        </w:rPr>
        <w:t>5.4.4</w:t>
      </w:r>
      <w:r>
        <w:rPr>
          <w:color w:val="auto"/>
        </w:rPr>
        <w:t>施工方法</w:t>
      </w:r>
      <w:bookmarkEnd w:id="148"/>
    </w:p>
    <w:p w14:paraId="6884D29D">
      <w:pPr>
        <w:keepNext w:val="0"/>
        <w:keepLines w:val="0"/>
        <w:pageBreakBefore w:val="0"/>
        <w:widowControl w:val="0"/>
        <w:numPr>
          <w:ilvl w:val="0"/>
          <w:numId w:val="15"/>
        </w:numPr>
        <w:kinsoku/>
        <w:wordWrap/>
        <w:overflowPunct/>
        <w:topLinePunct w:val="0"/>
        <w:autoSpaceDE/>
        <w:autoSpaceDN/>
        <w:bidi w:val="0"/>
        <w:adjustRightInd/>
        <w:snapToGrid/>
        <w:ind w:left="0"/>
        <w:textAlignment w:val="auto"/>
        <w:rPr>
          <w:rFonts w:hint="eastAsia"/>
          <w:color w:val="auto"/>
          <w:lang w:eastAsia="zh-CN"/>
        </w:rPr>
      </w:pPr>
      <w:bookmarkStart w:id="149" w:name="_Toc11701"/>
      <w:bookmarkStart w:id="150" w:name="_Toc316934599"/>
      <w:bookmarkStart w:id="151" w:name="_Toc418004945"/>
      <w:bookmarkStart w:id="152" w:name="_Toc26625"/>
      <w:bookmarkStart w:id="153" w:name="_Toc244051843"/>
      <w:bookmarkStart w:id="154" w:name="_Toc214272303"/>
      <w:bookmarkStart w:id="155" w:name="_Toc262813439"/>
      <w:bookmarkStart w:id="156" w:name="_Toc316934262"/>
      <w:bookmarkStart w:id="157" w:name="_Toc354915616"/>
      <w:r>
        <w:rPr>
          <w:rFonts w:hint="eastAsia"/>
          <w:color w:val="auto"/>
          <w:lang w:eastAsia="zh-CN"/>
        </w:rPr>
        <w:t>临时措施</w:t>
      </w:r>
    </w:p>
    <w:p w14:paraId="0681BC1B">
      <w:pPr>
        <w:bidi w:val="0"/>
        <w:rPr>
          <w:rFonts w:hint="eastAsia" w:eastAsia="仿宋_GB2312"/>
          <w:color w:val="auto"/>
          <w:lang w:eastAsia="zh-CN"/>
        </w:rPr>
      </w:pPr>
      <w:r>
        <w:rPr>
          <w:color w:val="auto"/>
        </w:rPr>
        <w:t>临时排水沟：人工开挖、修边</w:t>
      </w:r>
      <w:r>
        <w:rPr>
          <w:rFonts w:hint="eastAsia"/>
          <w:color w:val="auto"/>
          <w:lang w:eastAsia="zh-CN"/>
        </w:rPr>
        <w:t>。</w:t>
      </w:r>
    </w:p>
    <w:p w14:paraId="7262D519">
      <w:pPr>
        <w:bidi w:val="0"/>
        <w:rPr>
          <w:rFonts w:hint="eastAsia"/>
          <w:color w:val="auto"/>
          <w:lang w:eastAsia="zh-CN"/>
        </w:rPr>
      </w:pPr>
      <w:r>
        <w:rPr>
          <w:rFonts w:hint="eastAsia"/>
          <w:color w:val="auto"/>
          <w:lang w:eastAsia="zh-CN"/>
        </w:rPr>
        <w:t>防雨布苫盖</w:t>
      </w:r>
      <w:r>
        <w:rPr>
          <w:rFonts w:hint="default"/>
          <w:color w:val="auto"/>
        </w:rPr>
        <w:t>：</w:t>
      </w:r>
      <w:r>
        <w:rPr>
          <w:rFonts w:hint="eastAsia"/>
          <w:color w:val="auto"/>
          <w:lang w:eastAsia="zh-CN"/>
        </w:rPr>
        <w:t>防雨布</w:t>
      </w:r>
      <w:r>
        <w:rPr>
          <w:rFonts w:hint="default"/>
          <w:color w:val="auto"/>
        </w:rPr>
        <w:t>覆盖施工应先对坡面进行场地平整，每块</w:t>
      </w:r>
      <w:r>
        <w:rPr>
          <w:rFonts w:hint="eastAsia"/>
          <w:color w:val="auto"/>
          <w:lang w:eastAsia="zh-CN"/>
        </w:rPr>
        <w:t>网</w:t>
      </w:r>
      <w:r>
        <w:rPr>
          <w:rFonts w:hint="default"/>
          <w:color w:val="auto"/>
        </w:rPr>
        <w:t>与</w:t>
      </w:r>
      <w:r>
        <w:rPr>
          <w:rFonts w:hint="eastAsia"/>
          <w:color w:val="auto"/>
          <w:lang w:eastAsia="zh-CN"/>
        </w:rPr>
        <w:t>网</w:t>
      </w:r>
      <w:r>
        <w:rPr>
          <w:rFonts w:hint="default"/>
          <w:color w:val="auto"/>
        </w:rPr>
        <w:t>之间要重叠20cm，重叠处用土或石块，避免被风吹散。</w:t>
      </w:r>
      <w:r>
        <w:rPr>
          <w:rFonts w:hint="eastAsia"/>
          <w:color w:val="auto"/>
          <w:lang w:eastAsia="zh-CN"/>
        </w:rPr>
        <w:t>防雨布</w:t>
      </w:r>
      <w:r>
        <w:rPr>
          <w:rFonts w:hint="default"/>
          <w:color w:val="auto"/>
        </w:rPr>
        <w:t>尽量回收重复利用</w:t>
      </w:r>
      <w:r>
        <w:rPr>
          <w:rFonts w:hint="eastAsia"/>
          <w:color w:val="auto"/>
          <w:lang w:eastAsia="zh-CN"/>
        </w:rPr>
        <w:t>。</w:t>
      </w:r>
    </w:p>
    <w:p w14:paraId="39FB72D3">
      <w:pPr>
        <w:pStyle w:val="5"/>
        <w:rPr>
          <w:color w:val="auto"/>
        </w:rPr>
      </w:pPr>
      <w:r>
        <w:rPr>
          <w:rFonts w:hint="eastAsia"/>
          <w:color w:val="auto"/>
        </w:rPr>
        <w:t>5.4.5</w:t>
      </w:r>
      <w:r>
        <w:rPr>
          <w:color w:val="auto"/>
        </w:rPr>
        <w:t>施工质量要求</w:t>
      </w:r>
      <w:bookmarkEnd w:id="149"/>
      <w:bookmarkEnd w:id="150"/>
      <w:bookmarkEnd w:id="151"/>
      <w:bookmarkEnd w:id="152"/>
      <w:bookmarkEnd w:id="153"/>
      <w:bookmarkEnd w:id="154"/>
      <w:bookmarkEnd w:id="155"/>
      <w:bookmarkEnd w:id="156"/>
      <w:bookmarkEnd w:id="157"/>
    </w:p>
    <w:p w14:paraId="62D69E9C">
      <w:pPr>
        <w:ind w:firstLine="480"/>
        <w:rPr>
          <w:color w:val="auto"/>
        </w:rPr>
      </w:pPr>
      <w:r>
        <w:rPr>
          <w:color w:val="auto"/>
        </w:rPr>
        <w:t>水土保持工程实施后，各项治理措施必须符合规定的质量要求，并经规定的质量测定方法确定后，才能作为治理成果进行数量统计。</w:t>
      </w:r>
    </w:p>
    <w:p w14:paraId="34CB10AF">
      <w:pPr>
        <w:ind w:firstLine="480"/>
        <w:rPr>
          <w:color w:val="auto"/>
        </w:rPr>
      </w:pPr>
      <w:r>
        <w:rPr>
          <w:color w:val="auto"/>
        </w:rPr>
        <w:t>本项目水土保持各项治理措施的基本要求是总体布局合理，各项措施位置符合规划要求，规格、尺寸、质量使用材料、施工方法符合施工和设计标准经暴雨考验后基本完好。</w:t>
      </w:r>
    </w:p>
    <w:p w14:paraId="64133FCF">
      <w:pPr>
        <w:pStyle w:val="5"/>
        <w:rPr>
          <w:color w:val="auto"/>
        </w:rPr>
      </w:pPr>
      <w:bookmarkStart w:id="158" w:name="_Toc418004946"/>
      <w:bookmarkStart w:id="159" w:name="_Toc416298706"/>
      <w:r>
        <w:rPr>
          <w:rFonts w:hint="eastAsia"/>
          <w:color w:val="auto"/>
        </w:rPr>
        <w:t>5.4.6</w:t>
      </w:r>
      <w:r>
        <w:rPr>
          <w:color w:val="auto"/>
        </w:rPr>
        <w:t>实施进度安排</w:t>
      </w:r>
      <w:bookmarkEnd w:id="158"/>
      <w:bookmarkEnd w:id="159"/>
    </w:p>
    <w:p w14:paraId="6DD13B88">
      <w:pPr>
        <w:ind w:firstLine="480"/>
        <w:rPr>
          <w:color w:val="auto"/>
        </w:rPr>
      </w:pPr>
      <w:r>
        <w:rPr>
          <w:color w:val="auto"/>
          <w:kern w:val="24"/>
        </w:rPr>
        <w:t>本项目</w:t>
      </w:r>
      <w:r>
        <w:rPr>
          <w:rFonts w:hint="eastAsia"/>
          <w:color w:val="auto"/>
          <w:kern w:val="24"/>
          <w:lang w:val="en-US" w:eastAsia="zh-CN"/>
        </w:rPr>
        <w:t>预计</w:t>
      </w:r>
      <w:r>
        <w:rPr>
          <w:color w:val="auto"/>
          <w:kern w:val="24"/>
        </w:rPr>
        <w:t>20</w:t>
      </w:r>
      <w:r>
        <w:rPr>
          <w:rFonts w:hint="eastAsia"/>
          <w:color w:val="auto"/>
          <w:kern w:val="24"/>
          <w:lang w:val="en-US" w:eastAsia="zh-CN"/>
        </w:rPr>
        <w:t>25</w:t>
      </w:r>
      <w:r>
        <w:rPr>
          <w:color w:val="auto"/>
          <w:kern w:val="24"/>
        </w:rPr>
        <w:t>年</w:t>
      </w:r>
      <w:r>
        <w:rPr>
          <w:rFonts w:hint="eastAsia"/>
          <w:color w:val="auto"/>
          <w:kern w:val="24"/>
          <w:lang w:val="en-US" w:eastAsia="zh-CN"/>
        </w:rPr>
        <w:t>1</w:t>
      </w:r>
      <w:r>
        <w:rPr>
          <w:color w:val="auto"/>
          <w:kern w:val="24"/>
        </w:rPr>
        <w:t>月开工建设，</w:t>
      </w:r>
      <w:r>
        <w:rPr>
          <w:rFonts w:hint="eastAsia"/>
          <w:color w:val="auto"/>
          <w:kern w:val="24"/>
          <w:lang w:val="en-US" w:eastAsia="zh-CN"/>
        </w:rPr>
        <w:t>预计</w:t>
      </w:r>
      <w:r>
        <w:rPr>
          <w:color w:val="auto"/>
          <w:kern w:val="24"/>
        </w:rPr>
        <w:t>20</w:t>
      </w:r>
      <w:r>
        <w:rPr>
          <w:rFonts w:hint="eastAsia"/>
          <w:color w:val="auto"/>
          <w:kern w:val="24"/>
          <w:lang w:val="en-US" w:eastAsia="zh-CN"/>
        </w:rPr>
        <w:t>25</w:t>
      </w:r>
      <w:r>
        <w:rPr>
          <w:color w:val="auto"/>
          <w:kern w:val="24"/>
        </w:rPr>
        <w:t>年</w:t>
      </w:r>
      <w:r>
        <w:rPr>
          <w:rFonts w:hint="eastAsia"/>
          <w:color w:val="auto"/>
          <w:kern w:val="24"/>
          <w:lang w:val="en-US" w:eastAsia="zh-CN"/>
        </w:rPr>
        <w:t>6</w:t>
      </w:r>
      <w:r>
        <w:rPr>
          <w:color w:val="auto"/>
          <w:kern w:val="24"/>
        </w:rPr>
        <w:t>月底竣工，工期为</w:t>
      </w:r>
      <w:r>
        <w:rPr>
          <w:rFonts w:hint="eastAsia"/>
          <w:color w:val="auto"/>
          <w:kern w:val="24"/>
          <w:lang w:val="en-US" w:eastAsia="zh-CN"/>
        </w:rPr>
        <w:t>6</w:t>
      </w:r>
      <w:r>
        <w:rPr>
          <w:color w:val="auto"/>
          <w:kern w:val="24"/>
        </w:rPr>
        <w:t>个月。</w:t>
      </w:r>
      <w:r>
        <w:rPr>
          <w:rFonts w:eastAsia="仿宋_GB2312"/>
          <w:color w:val="auto"/>
        </w:rPr>
        <w:t>根据“三同时”制度的要求，水土保持工程实施进度应与主体工程同步，各项水土保持措施的实施要与主体工程的施工进度相协调。实施过程中结合主体工程及其施工特点和本地区的气候特点，利用主体工程的施工条件布设水土保持措施，本着合理使用资金、劳力、材料和机械设备，保证水土保持工程的施工进度和工程质量。施工进度安排详见下表5.4-1。</w:t>
      </w:r>
    </w:p>
    <w:p w14:paraId="0FDF972B">
      <w:pPr>
        <w:pStyle w:val="35"/>
        <w:bidi w:val="0"/>
        <w:rPr>
          <w:color w:val="auto"/>
        </w:rPr>
      </w:pPr>
      <w:r>
        <w:rPr>
          <w:color w:val="auto"/>
        </w:rPr>
        <w:t>表5.4-1  本项目施工进度安排表</w:t>
      </w:r>
    </w:p>
    <w:p w14:paraId="41DD5EB1">
      <w:pPr>
        <w:ind w:left="0" w:leftChars="0" w:firstLine="0" w:firstLineChars="0"/>
        <w:rPr>
          <w:color w:val="auto"/>
        </w:rPr>
      </w:pPr>
      <w:r>
        <w:drawing>
          <wp:inline distT="0" distB="0" distL="114300" distR="114300">
            <wp:extent cx="5756275" cy="1457325"/>
            <wp:effectExtent l="0" t="0" r="15875" b="9525"/>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33"/>
                    <a:stretch>
                      <a:fillRect/>
                    </a:stretch>
                  </pic:blipFill>
                  <pic:spPr>
                    <a:xfrm>
                      <a:off x="0" y="0"/>
                      <a:ext cx="5756275" cy="1457325"/>
                    </a:xfrm>
                    <a:prstGeom prst="rect">
                      <a:avLst/>
                    </a:prstGeom>
                    <a:noFill/>
                    <a:ln>
                      <a:noFill/>
                    </a:ln>
                  </pic:spPr>
                </pic:pic>
              </a:graphicData>
            </a:graphic>
          </wp:inline>
        </w:drawing>
      </w:r>
    </w:p>
    <w:p w14:paraId="6BACAB2E">
      <w:pPr>
        <w:pStyle w:val="11"/>
        <w:tabs>
          <w:tab w:val="left" w:pos="2745"/>
          <w:tab w:val="left" w:pos="2925"/>
        </w:tabs>
        <w:spacing w:after="0" w:line="500" w:lineRule="exact"/>
        <w:jc w:val="both"/>
        <w:rPr>
          <w:rFonts w:ascii="Times New Roman" w:hAnsi="Times New Roman" w:eastAsia="仿宋_GB2312" w:cs="Times New Roman"/>
          <w:color w:val="auto"/>
          <w:kern w:val="0"/>
          <w:sz w:val="24"/>
          <w:szCs w:val="24"/>
          <w:highlight w:val="none"/>
        </w:rPr>
      </w:pPr>
      <w:r>
        <w:rPr>
          <w:rFonts w:ascii="Times New Roman" w:hAnsi="Times New Roman" w:eastAsia="仿宋_GB2312" w:cs="Times New Roman"/>
          <w:bCs/>
          <w:color w:val="auto"/>
          <w:sz w:val="18"/>
          <w:highlight w:val="none"/>
        </w:rPr>
        <mc:AlternateContent>
          <mc:Choice Requires="wps">
            <w:drawing>
              <wp:anchor distT="0" distB="0" distL="114300" distR="114300" simplePos="0" relativeHeight="251661312" behindDoc="0" locked="0" layoutInCell="1" allowOverlap="1">
                <wp:simplePos x="0" y="0"/>
                <wp:positionH relativeFrom="column">
                  <wp:posOffset>1209675</wp:posOffset>
                </wp:positionH>
                <wp:positionV relativeFrom="paragraph">
                  <wp:posOffset>209550</wp:posOffset>
                </wp:positionV>
                <wp:extent cx="495300" cy="0"/>
                <wp:effectExtent l="0" t="19050" r="0" b="19050"/>
                <wp:wrapNone/>
                <wp:docPr id="25" name="自选图形 166"/>
                <wp:cNvGraphicFramePr/>
                <a:graphic xmlns:a="http://schemas.openxmlformats.org/drawingml/2006/main">
                  <a:graphicData uri="http://schemas.microsoft.com/office/word/2010/wordprocessingShape">
                    <wps:wsp>
                      <wps:cNvCnPr/>
                      <wps:spPr>
                        <a:xfrm>
                          <a:off x="0" y="0"/>
                          <a:ext cx="495300" cy="0"/>
                        </a:xfrm>
                        <a:prstGeom prst="straightConnector1">
                          <a:avLst/>
                        </a:prstGeom>
                        <a:ln w="38100" cap="flat" cmpd="sng">
                          <a:solidFill>
                            <a:srgbClr val="000000"/>
                          </a:solidFill>
                          <a:prstDash val="solid"/>
                          <a:headEnd type="none" w="med" len="med"/>
                          <a:tailEnd type="none" w="med" len="med"/>
                        </a:ln>
                        <a:effectLst/>
                      </wps:spPr>
                      <wps:bodyPr/>
                    </wps:wsp>
                  </a:graphicData>
                </a:graphic>
              </wp:anchor>
            </w:drawing>
          </mc:Choice>
          <mc:Fallback>
            <w:pict>
              <v:shape id="自选图形 166" o:spid="_x0000_s1026" o:spt="32" type="#_x0000_t32" style="position:absolute;left:0pt;margin-left:95.25pt;margin-top:16.5pt;height:0pt;width:39pt;z-index:251661312;mso-width-relative:page;mso-height-relative:page;" filled="f" stroked="t" coordsize="21600,21600" o:gfxdata="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T89Va1AAAAAkBAAAPAAAAAAAAAAEAIAAAACIAAABkcnMvZG93bnJldi54bWxQ&#10;SwECFAAUAAAACACHTuJAqqN7VfsBAAD0AwAADgAAAAAAAAABACAAAAAjAQAAZHJzL2Uyb0RvYy54&#10;bWxQSwUGAAAAAAYABgBZAQAAkAUAAAAA&#10;">
                <v:fill on="f" focussize="0,0"/>
                <v:stroke weight="3pt" color="#000000" joinstyle="round"/>
                <v:imagedata o:title=""/>
                <o:lock v:ext="edit" aspectratio="f"/>
              </v:shape>
            </w:pict>
          </mc:Fallback>
        </mc:AlternateContent>
      </w:r>
      <w:r>
        <w:rPr>
          <w:rFonts w:ascii="Times New Roman" w:hAnsi="Times New Roman" w:eastAsia="仿宋_GB2312" w:cs="Times New Roman"/>
          <w:bCs/>
          <w:color w:val="auto"/>
          <w:sz w:val="18"/>
          <w:highlight w:val="none"/>
        </w:rPr>
        <w:t>注：1.主体</w:t>
      </w:r>
      <w:r>
        <w:rPr>
          <w:rFonts w:hint="eastAsia" w:cs="Times New Roman"/>
          <w:bCs/>
          <w:color w:val="auto"/>
          <w:sz w:val="18"/>
          <w:highlight w:val="none"/>
          <w:lang w:val="en-US" w:eastAsia="zh-CN"/>
        </w:rPr>
        <w:t>工程</w:t>
      </w:r>
      <w:r>
        <w:rPr>
          <w:rFonts w:ascii="Times New Roman" w:hAnsi="Times New Roman" w:eastAsia="仿宋_GB2312" w:cs="Times New Roman"/>
          <w:bCs/>
          <w:color w:val="auto"/>
          <w:sz w:val="18"/>
          <w:highlight w:val="none"/>
        </w:rPr>
        <w:t>：</w:t>
      </w:r>
      <w:r>
        <w:rPr>
          <w:rFonts w:ascii="Times New Roman" w:hAnsi="Times New Roman" w:eastAsia="仿宋_GB2312" w:cs="Times New Roman"/>
          <w:bCs/>
          <w:color w:val="auto"/>
          <w:sz w:val="18"/>
          <w:highlight w:val="none"/>
        </w:rPr>
        <w:tab/>
      </w:r>
      <w:r>
        <w:rPr>
          <w:rFonts w:hint="eastAsia" w:ascii="Times New Roman" w:hAnsi="Times New Roman" w:cs="Times New Roman"/>
          <w:bCs/>
          <w:color w:val="auto"/>
          <w:sz w:val="18"/>
          <w:highlight w:val="none"/>
          <w:lang w:val="en-US" w:eastAsia="zh-CN"/>
        </w:rPr>
        <w:t xml:space="preserve">  </w:t>
      </w:r>
      <w:r>
        <w:rPr>
          <w:rFonts w:hint="eastAsia" w:cs="Times New Roman"/>
          <w:bCs/>
          <w:color w:val="auto"/>
          <w:sz w:val="18"/>
          <w:highlight w:val="none"/>
          <w:lang w:val="en-US" w:eastAsia="zh-CN"/>
        </w:rPr>
        <w:t>2</w:t>
      </w:r>
      <w:r>
        <w:rPr>
          <w:rFonts w:ascii="Times New Roman" w:hAnsi="Times New Roman" w:eastAsia="仿宋_GB2312" w:cs="Times New Roman"/>
          <w:bCs/>
          <w:color w:val="auto"/>
          <w:sz w:val="18"/>
          <w:highlight w:val="none"/>
        </w:rPr>
        <w:t>.</w:t>
      </w:r>
      <w:r>
        <w:rPr>
          <w:rFonts w:hint="eastAsia" w:cs="Times New Roman"/>
          <w:bCs/>
          <w:color w:val="auto"/>
          <w:sz w:val="18"/>
          <w:highlight w:val="none"/>
          <w:lang w:val="en-US" w:eastAsia="zh-CN"/>
        </w:rPr>
        <w:t>水保措施</w:t>
      </w:r>
      <w:r>
        <w:rPr>
          <w:rFonts w:ascii="Times New Roman" w:hAnsi="Times New Roman" w:eastAsia="仿宋_GB2312" w:cs="Times New Roman"/>
          <w:bCs/>
          <w:color w:val="auto"/>
          <w:sz w:val="18"/>
          <w:highlight w:val="none"/>
        </w:rPr>
        <w:t>：</w:t>
      </w:r>
    </w:p>
    <w:p w14:paraId="7EA5A625">
      <w:pPr>
        <w:pStyle w:val="2"/>
        <w:rPr>
          <w:rFonts w:hint="eastAsia"/>
          <w:color w:val="0000FF"/>
        </w:rPr>
        <w:sectPr>
          <w:headerReference r:id="rId17" w:type="default"/>
          <w:pgSz w:w="11906" w:h="16838"/>
          <w:pgMar w:top="1417" w:right="1417" w:bottom="1417" w:left="1417" w:header="1134" w:footer="1134" w:gutter="0"/>
          <w:pgBorders>
            <w:top w:val="none" w:sz="0" w:space="0"/>
            <w:left w:val="none" w:sz="0" w:space="0"/>
            <w:bottom w:val="none" w:sz="0" w:space="0"/>
            <w:right w:val="none" w:sz="0" w:space="0"/>
          </w:pgBorders>
          <w:pgNumType w:fmt="decimal"/>
          <w:cols w:space="425" w:num="1"/>
          <w:docGrid w:type="lines" w:linePitch="312" w:charSpace="0"/>
        </w:sectPr>
      </w:pPr>
      <w:r>
        <w:rPr>
          <w:rFonts w:ascii="Times New Roman" w:hAnsi="Times New Roman" w:eastAsia="仿宋_GB2312" w:cs="Times New Roman"/>
          <w:bCs/>
          <w:color w:val="0000FF"/>
          <w:sz w:val="18"/>
          <w:highlight w:val="none"/>
        </w:rPr>
        <mc:AlternateContent>
          <mc:Choice Requires="wps">
            <w:drawing>
              <wp:anchor distT="0" distB="0" distL="114300" distR="114300" simplePos="0" relativeHeight="251662336" behindDoc="0" locked="0" layoutInCell="1" allowOverlap="1">
                <wp:simplePos x="0" y="0"/>
                <wp:positionH relativeFrom="column">
                  <wp:posOffset>2562860</wp:posOffset>
                </wp:positionH>
                <wp:positionV relativeFrom="paragraph">
                  <wp:posOffset>-107950</wp:posOffset>
                </wp:positionV>
                <wp:extent cx="415290" cy="0"/>
                <wp:effectExtent l="19050" t="19050" r="22860" b="19050"/>
                <wp:wrapNone/>
                <wp:docPr id="22" name="自选图形 167"/>
                <wp:cNvGraphicFramePr/>
                <a:graphic xmlns:a="http://schemas.openxmlformats.org/drawingml/2006/main">
                  <a:graphicData uri="http://schemas.microsoft.com/office/word/2010/wordprocessingShape">
                    <wps:wsp>
                      <wps:cNvCnPr/>
                      <wps:spPr>
                        <a:xfrm>
                          <a:off x="0" y="0"/>
                          <a:ext cx="415290" cy="0"/>
                        </a:xfrm>
                        <a:prstGeom prst="straightConnector1">
                          <a:avLst/>
                        </a:prstGeom>
                        <a:ln w="38100" cap="rnd" cmpd="sng">
                          <a:solidFill>
                            <a:srgbClr val="000000"/>
                          </a:solidFill>
                          <a:prstDash val="sysDot"/>
                          <a:headEnd type="none" w="med" len="med"/>
                          <a:tailEnd type="none" w="med" len="med"/>
                        </a:ln>
                        <a:effectLst/>
                      </wps:spPr>
                      <wps:bodyPr/>
                    </wps:wsp>
                  </a:graphicData>
                </a:graphic>
              </wp:anchor>
            </w:drawing>
          </mc:Choice>
          <mc:Fallback>
            <w:pict>
              <v:shape id="自选图形 167" o:spid="_x0000_s1026" o:spt="32" type="#_x0000_t32" style="position:absolute;left:0pt;margin-left:201.8pt;margin-top:-8.5pt;height:0pt;width:32.7pt;z-index:251662336;mso-width-relative:page;mso-height-relative:page;" filled="f" stroked="t" coordsize="21600,21600" o:gfxdata="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MSna9DaAAAACwEAAA8AAAAAAAAAAQAgAAAAIgAAAGRycy9kb3du&#10;cmV2LnhtbFBLAQIUABQAAAAIAIdO4kAT86mp/QEAAPQDAAAOAAAAAAAAAAEAIAAAACkBAABkcnMv&#10;ZTJvRG9jLnhtbFBLBQYAAAAABgAGAFkBAACYBQAAAAA=&#10;">
                <v:fill on="f" focussize="0,0"/>
                <v:stroke weight="3pt" color="#000000" joinstyle="round" dashstyle="1 1" endcap="round"/>
                <v:imagedata o:title=""/>
                <o:lock v:ext="edit" aspectratio="f"/>
              </v:shape>
            </w:pict>
          </mc:Fallback>
        </mc:AlternateContent>
      </w:r>
    </w:p>
    <w:p w14:paraId="59AB7887">
      <w:pPr>
        <w:pStyle w:val="2"/>
        <w:rPr>
          <w:color w:val="auto"/>
        </w:rPr>
      </w:pPr>
      <w:bookmarkStart w:id="160" w:name="_Toc17663"/>
      <w:r>
        <w:rPr>
          <w:rFonts w:hint="eastAsia"/>
          <w:color w:val="auto"/>
        </w:rPr>
        <w:t>6 水土保持监测</w:t>
      </w:r>
      <w:bookmarkEnd w:id="160"/>
    </w:p>
    <w:p w14:paraId="1B327A21">
      <w:pPr>
        <w:ind w:firstLine="480"/>
        <w:jc w:val="left"/>
        <w:rPr>
          <w:bCs/>
          <w:color w:val="auto"/>
          <w:szCs w:val="24"/>
          <w:lang w:val="zh-CN"/>
        </w:rPr>
      </w:pPr>
      <w:bookmarkStart w:id="161" w:name="_Toc416298709"/>
      <w:r>
        <w:rPr>
          <w:rFonts w:hint="eastAsia"/>
          <w:bCs/>
          <w:color w:val="auto"/>
          <w:lang w:val="zh-CN"/>
        </w:rPr>
        <w:t>根据《水利部关于进一步深化“放管服”改革全面加强水土保持监管的意见》（水保〔2019〕160号）、《水利部办公厅关于进一步加强生产建设项目水土保持监测工作的通知》（办水保〔2020〕161 号）中简化验收报备的要求，该项目属于实行承诺制管理的项目，对水土保持监测不作相应要求，但建设单位应依法做好水土流失防治工作</w:t>
      </w:r>
      <w:r>
        <w:rPr>
          <w:rFonts w:hint="eastAsia"/>
          <w:bCs/>
          <w:color w:val="auto"/>
          <w:szCs w:val="24"/>
          <w:lang w:val="zh-CN"/>
        </w:rPr>
        <w:t>。</w:t>
      </w:r>
    </w:p>
    <w:bookmarkEnd w:id="161"/>
    <w:p w14:paraId="2B244592">
      <w:pPr>
        <w:pStyle w:val="14"/>
        <w:ind w:firstLine="480"/>
        <w:rPr>
          <w:color w:val="0000FF"/>
        </w:rPr>
        <w:sectPr>
          <w:headerReference r:id="rId18" w:type="default"/>
          <w:pgSz w:w="11906" w:h="16838"/>
          <w:pgMar w:top="1417" w:right="1417" w:bottom="1417" w:left="1417" w:header="1134" w:footer="1134" w:gutter="0"/>
          <w:pgBorders>
            <w:top w:val="none" w:sz="0" w:space="0"/>
            <w:left w:val="none" w:sz="0" w:space="0"/>
            <w:bottom w:val="none" w:sz="0" w:space="0"/>
            <w:right w:val="none" w:sz="0" w:space="0"/>
          </w:pgBorders>
          <w:pgNumType w:fmt="decimal"/>
          <w:cols w:space="425" w:num="1"/>
          <w:docGrid w:type="lines" w:linePitch="312" w:charSpace="0"/>
        </w:sectPr>
      </w:pPr>
    </w:p>
    <w:p w14:paraId="2F656DF7">
      <w:pPr>
        <w:pStyle w:val="2"/>
        <w:rPr>
          <w:color w:val="auto"/>
        </w:rPr>
      </w:pPr>
      <w:bookmarkStart w:id="162" w:name="_Toc5786"/>
      <w:r>
        <w:rPr>
          <w:rFonts w:hint="eastAsia"/>
          <w:color w:val="auto"/>
        </w:rPr>
        <w:t>7 水土保持投资</w:t>
      </w:r>
      <w:r>
        <w:rPr>
          <w:rFonts w:hint="eastAsia"/>
          <w:color w:val="auto"/>
          <w:lang w:eastAsia="zh-CN"/>
        </w:rPr>
        <w:t>概算</w:t>
      </w:r>
      <w:r>
        <w:rPr>
          <w:rFonts w:hint="eastAsia"/>
          <w:color w:val="auto"/>
        </w:rPr>
        <w:t>及效益分析</w:t>
      </w:r>
      <w:bookmarkEnd w:id="162"/>
    </w:p>
    <w:p w14:paraId="0AFC1507">
      <w:pPr>
        <w:pStyle w:val="3"/>
        <w:rPr>
          <w:rFonts w:hint="eastAsia"/>
          <w:color w:val="auto"/>
          <w:lang w:eastAsia="zh-CN"/>
        </w:rPr>
      </w:pPr>
      <w:bookmarkStart w:id="163" w:name="_Toc15965"/>
      <w:r>
        <w:rPr>
          <w:rFonts w:hint="eastAsia"/>
          <w:color w:val="auto"/>
        </w:rPr>
        <w:t>7.1投资</w:t>
      </w:r>
      <w:r>
        <w:rPr>
          <w:rFonts w:hint="eastAsia"/>
          <w:color w:val="auto"/>
          <w:lang w:eastAsia="zh-CN"/>
        </w:rPr>
        <w:t>概算</w:t>
      </w:r>
      <w:bookmarkEnd w:id="163"/>
    </w:p>
    <w:p w14:paraId="2617E4B8">
      <w:pPr>
        <w:pStyle w:val="5"/>
        <w:rPr>
          <w:color w:val="auto"/>
        </w:rPr>
      </w:pPr>
      <w:r>
        <w:rPr>
          <w:rFonts w:hint="eastAsia"/>
          <w:color w:val="auto"/>
        </w:rPr>
        <w:t>7.1.1编制原则及依据</w:t>
      </w:r>
    </w:p>
    <w:p w14:paraId="3D48DFCB">
      <w:pPr>
        <w:pStyle w:val="6"/>
        <w:rPr>
          <w:color w:val="auto"/>
        </w:rPr>
      </w:pPr>
      <w:r>
        <w:rPr>
          <w:rFonts w:hint="eastAsia"/>
          <w:color w:val="auto"/>
        </w:rPr>
        <w:t>7.1.1.1</w:t>
      </w:r>
      <w:r>
        <w:rPr>
          <w:color w:val="auto"/>
        </w:rPr>
        <w:t>编制原则</w:t>
      </w:r>
    </w:p>
    <w:p w14:paraId="10C5B14E">
      <w:pPr>
        <w:numPr>
          <w:ilvl w:val="0"/>
          <w:numId w:val="16"/>
        </w:numPr>
        <w:ind w:left="0" w:firstLine="480"/>
        <w:rPr>
          <w:color w:val="auto"/>
        </w:rPr>
      </w:pPr>
      <w:r>
        <w:rPr>
          <w:color w:val="auto"/>
        </w:rPr>
        <w:t>主要材料价格与主体工程材料价格一致</w:t>
      </w:r>
      <w:r>
        <w:rPr>
          <w:rFonts w:hint="eastAsia"/>
          <w:color w:val="auto"/>
          <w:lang w:eastAsia="zh-CN"/>
        </w:rPr>
        <w:t>，主体没有的依据川水发〔</w:t>
      </w:r>
      <w:r>
        <w:rPr>
          <w:rFonts w:hint="eastAsia"/>
          <w:color w:val="auto"/>
          <w:lang w:val="en-US" w:eastAsia="zh-CN"/>
        </w:rPr>
        <w:t>2015〕9号文及水土保持定额补充完善</w:t>
      </w:r>
      <w:r>
        <w:rPr>
          <w:color w:val="auto"/>
        </w:rPr>
        <w:t>；</w:t>
      </w:r>
    </w:p>
    <w:p w14:paraId="72558F19">
      <w:pPr>
        <w:numPr>
          <w:ilvl w:val="0"/>
          <w:numId w:val="16"/>
        </w:numPr>
        <w:ind w:left="0" w:firstLine="480"/>
        <w:rPr>
          <w:color w:val="auto"/>
        </w:rPr>
      </w:pPr>
      <w:r>
        <w:rPr>
          <w:color w:val="auto"/>
        </w:rPr>
        <w:t>遵循国家和地方颁布的有关水土保持法律法规；</w:t>
      </w:r>
    </w:p>
    <w:p w14:paraId="4F4C79D7">
      <w:pPr>
        <w:numPr>
          <w:ilvl w:val="0"/>
          <w:numId w:val="16"/>
        </w:numPr>
        <w:ind w:left="0" w:firstLine="480"/>
        <w:rPr>
          <w:color w:val="auto"/>
        </w:rPr>
      </w:pPr>
      <w:r>
        <w:rPr>
          <w:color w:val="auto"/>
        </w:rPr>
        <w:t>价格水平年</w:t>
      </w:r>
      <w:r>
        <w:rPr>
          <w:rFonts w:hint="eastAsia"/>
          <w:color w:val="auto"/>
          <w:lang w:eastAsia="zh-CN"/>
        </w:rPr>
        <w:t>同主体工程一致，为</w:t>
      </w:r>
      <w:r>
        <w:rPr>
          <w:rFonts w:hint="eastAsia"/>
          <w:color w:val="auto"/>
          <w:lang w:val="en-US" w:eastAsia="zh-CN"/>
        </w:rPr>
        <w:t>2024年第四季度</w:t>
      </w:r>
      <w:r>
        <w:rPr>
          <w:color w:val="auto"/>
        </w:rPr>
        <w:t>。</w:t>
      </w:r>
    </w:p>
    <w:p w14:paraId="5C8FE89C">
      <w:pPr>
        <w:pStyle w:val="6"/>
        <w:rPr>
          <w:color w:val="auto"/>
        </w:rPr>
      </w:pPr>
      <w:bookmarkStart w:id="164" w:name="_Toc418004967"/>
      <w:bookmarkStart w:id="165" w:name="_Toc416298720"/>
      <w:r>
        <w:rPr>
          <w:rFonts w:hint="eastAsia"/>
          <w:color w:val="auto"/>
        </w:rPr>
        <w:t>7</w:t>
      </w:r>
      <w:r>
        <w:rPr>
          <w:color w:val="auto"/>
        </w:rPr>
        <w:t>.1.1.2编制依据</w:t>
      </w:r>
      <w:bookmarkEnd w:id="164"/>
      <w:bookmarkEnd w:id="165"/>
    </w:p>
    <w:p w14:paraId="2DB50003">
      <w:pPr>
        <w:numPr>
          <w:ilvl w:val="0"/>
          <w:numId w:val="17"/>
        </w:numPr>
        <w:tabs>
          <w:tab w:val="left" w:pos="0"/>
        </w:tabs>
        <w:ind w:left="0" w:firstLine="480"/>
        <w:rPr>
          <w:color w:val="auto"/>
        </w:rPr>
      </w:pPr>
      <w:r>
        <w:rPr>
          <w:color w:val="auto"/>
        </w:rPr>
        <w:t>《四川省水利厅关于发布</w:t>
      </w:r>
      <w:r>
        <w:rPr>
          <w:rFonts w:hint="eastAsia"/>
          <w:color w:val="auto"/>
          <w:lang w:eastAsia="zh-CN"/>
        </w:rPr>
        <w:t>〈</w:t>
      </w:r>
      <w:r>
        <w:rPr>
          <w:color w:val="auto"/>
        </w:rPr>
        <w:t>四川省水利水电工程概（估）算编制规定</w:t>
      </w:r>
      <w:r>
        <w:rPr>
          <w:rFonts w:hint="eastAsia"/>
          <w:color w:val="auto"/>
          <w:lang w:eastAsia="zh-CN"/>
        </w:rPr>
        <w:t>〉</w:t>
      </w:r>
      <w:r>
        <w:rPr>
          <w:color w:val="auto"/>
        </w:rPr>
        <w:t>的通知》（川水发〔2015〕9号）；</w:t>
      </w:r>
    </w:p>
    <w:p w14:paraId="13A43010">
      <w:pPr>
        <w:numPr>
          <w:ilvl w:val="0"/>
          <w:numId w:val="17"/>
        </w:numPr>
        <w:tabs>
          <w:tab w:val="left" w:pos="0"/>
        </w:tabs>
        <w:ind w:left="0" w:firstLine="480"/>
        <w:rPr>
          <w:color w:val="auto"/>
        </w:rPr>
      </w:pPr>
      <w:r>
        <w:rPr>
          <w:color w:val="auto"/>
        </w:rPr>
        <w:t>《四川省发展改革委员会、四川省财政厅、四川省水利厅</w:t>
      </w:r>
      <w:r>
        <w:rPr>
          <w:rFonts w:hint="eastAsia"/>
          <w:color w:val="auto"/>
          <w:lang w:eastAsia="zh-CN"/>
        </w:rPr>
        <w:t>〈</w:t>
      </w:r>
      <w:r>
        <w:rPr>
          <w:color w:val="auto"/>
        </w:rPr>
        <w:t>关于制定水土保持补偿费收费标准的通知</w:t>
      </w:r>
      <w:r>
        <w:rPr>
          <w:rFonts w:hint="eastAsia"/>
          <w:color w:val="auto"/>
          <w:lang w:eastAsia="zh-CN"/>
        </w:rPr>
        <w:t>〉</w:t>
      </w:r>
      <w:r>
        <w:rPr>
          <w:color w:val="auto"/>
        </w:rPr>
        <w:t>》（川发改价格〔2017〕347号）；</w:t>
      </w:r>
    </w:p>
    <w:p w14:paraId="18356A6B">
      <w:pPr>
        <w:pStyle w:val="14"/>
        <w:numPr>
          <w:ilvl w:val="0"/>
          <w:numId w:val="17"/>
        </w:numPr>
        <w:ind w:left="0" w:firstLine="480"/>
        <w:rPr>
          <w:color w:val="auto"/>
        </w:rPr>
      </w:pPr>
      <w:r>
        <w:rPr>
          <w:rFonts w:hint="eastAsia"/>
          <w:color w:val="auto"/>
        </w:rPr>
        <w:t>《四川省水利厅关于印发</w:t>
      </w:r>
      <w:r>
        <w:rPr>
          <w:rFonts w:hint="eastAsia"/>
          <w:color w:val="auto"/>
          <w:lang w:eastAsia="zh-CN"/>
        </w:rPr>
        <w:t>〈</w:t>
      </w:r>
      <w:r>
        <w:rPr>
          <w:rFonts w:hint="eastAsia"/>
          <w:color w:val="auto"/>
        </w:rPr>
        <w:t>增值税税率调整后（四川省水利水电工程设计概（估）算编制规定）相应调整办法</w:t>
      </w:r>
      <w:r>
        <w:rPr>
          <w:rFonts w:hint="eastAsia"/>
          <w:color w:val="auto"/>
          <w:lang w:eastAsia="zh-CN"/>
        </w:rPr>
        <w:t>〉</w:t>
      </w:r>
      <w:r>
        <w:rPr>
          <w:rFonts w:hint="eastAsia"/>
          <w:color w:val="auto"/>
        </w:rPr>
        <w:t>的通知》（川水函</w:t>
      </w:r>
      <w:r>
        <w:rPr>
          <w:color w:val="auto"/>
        </w:rPr>
        <w:t>〔201</w:t>
      </w:r>
      <w:r>
        <w:rPr>
          <w:rFonts w:hint="eastAsia"/>
          <w:color w:val="auto"/>
        </w:rPr>
        <w:t>9</w:t>
      </w:r>
      <w:r>
        <w:rPr>
          <w:color w:val="auto"/>
        </w:rPr>
        <w:t>〕</w:t>
      </w:r>
      <w:r>
        <w:rPr>
          <w:rFonts w:hint="eastAsia"/>
          <w:color w:val="auto"/>
        </w:rPr>
        <w:t>610号）</w:t>
      </w:r>
    </w:p>
    <w:p w14:paraId="24CCCDBE">
      <w:pPr>
        <w:numPr>
          <w:ilvl w:val="0"/>
          <w:numId w:val="17"/>
        </w:numPr>
        <w:tabs>
          <w:tab w:val="left" w:pos="0"/>
        </w:tabs>
        <w:ind w:left="0" w:firstLine="480"/>
        <w:rPr>
          <w:color w:val="auto"/>
        </w:rPr>
      </w:pPr>
      <w:r>
        <w:rPr>
          <w:color w:val="auto"/>
        </w:rPr>
        <w:t>《关于进一步放开建设项目专业服务价格的通知》（发改价格〔2015〕299号）；</w:t>
      </w:r>
    </w:p>
    <w:p w14:paraId="3D81A58C">
      <w:pPr>
        <w:numPr>
          <w:ilvl w:val="0"/>
          <w:numId w:val="17"/>
        </w:numPr>
        <w:tabs>
          <w:tab w:val="left" w:pos="0"/>
        </w:tabs>
        <w:ind w:left="0" w:firstLine="480"/>
        <w:rPr>
          <w:color w:val="auto"/>
        </w:rPr>
      </w:pPr>
      <w:r>
        <w:rPr>
          <w:color w:val="auto"/>
        </w:rPr>
        <w:t>《水土保持工程概</w:t>
      </w:r>
      <w:r>
        <w:rPr>
          <w:rFonts w:hint="eastAsia"/>
          <w:color w:val="auto"/>
        </w:rPr>
        <w:t>（</w:t>
      </w:r>
      <w:r>
        <w:rPr>
          <w:color w:val="auto"/>
        </w:rPr>
        <w:t>估</w:t>
      </w:r>
      <w:r>
        <w:rPr>
          <w:rFonts w:hint="eastAsia"/>
          <w:color w:val="auto"/>
        </w:rPr>
        <w:t>）</w:t>
      </w:r>
      <w:r>
        <w:rPr>
          <w:color w:val="auto"/>
        </w:rPr>
        <w:t>算定额》（水总〔2003〕67号）；</w:t>
      </w:r>
    </w:p>
    <w:p w14:paraId="039AC396">
      <w:pPr>
        <w:numPr>
          <w:ilvl w:val="0"/>
          <w:numId w:val="17"/>
        </w:numPr>
        <w:tabs>
          <w:tab w:val="left" w:pos="0"/>
        </w:tabs>
        <w:ind w:left="0" w:firstLine="480"/>
        <w:rPr>
          <w:color w:val="auto"/>
        </w:rPr>
      </w:pPr>
      <w:r>
        <w:rPr>
          <w:color w:val="auto"/>
        </w:rPr>
        <w:t>水泥、砖瓦砂石、风水电价等，按主体工程提供价格计算</w:t>
      </w:r>
      <w:r>
        <w:rPr>
          <w:rFonts w:hint="eastAsia"/>
          <w:color w:val="auto"/>
        </w:rPr>
        <w:t>；</w:t>
      </w:r>
    </w:p>
    <w:p w14:paraId="731F57A3">
      <w:pPr>
        <w:numPr>
          <w:ilvl w:val="0"/>
          <w:numId w:val="17"/>
        </w:numPr>
        <w:tabs>
          <w:tab w:val="left" w:pos="0"/>
        </w:tabs>
        <w:ind w:left="0" w:firstLine="480"/>
        <w:rPr>
          <w:color w:val="auto"/>
        </w:rPr>
      </w:pPr>
      <w:r>
        <w:rPr>
          <w:color w:val="auto"/>
        </w:rPr>
        <w:t>主体工程设计文件及图纸。</w:t>
      </w:r>
    </w:p>
    <w:p w14:paraId="18FD3006">
      <w:pPr>
        <w:pStyle w:val="6"/>
        <w:rPr>
          <w:color w:val="auto"/>
        </w:rPr>
      </w:pPr>
      <w:r>
        <w:rPr>
          <w:rFonts w:hint="eastAsia"/>
          <w:color w:val="auto"/>
        </w:rPr>
        <w:t>7</w:t>
      </w:r>
      <w:r>
        <w:rPr>
          <w:color w:val="auto"/>
        </w:rPr>
        <w:t>.1.1.3项目划分</w:t>
      </w:r>
    </w:p>
    <w:p w14:paraId="7C6E375E">
      <w:pPr>
        <w:ind w:firstLine="480"/>
        <w:rPr>
          <w:color w:val="auto"/>
        </w:rPr>
      </w:pPr>
      <w:r>
        <w:rPr>
          <w:color w:val="auto"/>
        </w:rPr>
        <w:t>本工程水土保持方案投资</w:t>
      </w:r>
      <w:r>
        <w:rPr>
          <w:rFonts w:hint="eastAsia"/>
          <w:color w:val="auto"/>
          <w:lang w:eastAsia="zh-CN"/>
        </w:rPr>
        <w:t>概算</w:t>
      </w:r>
      <w:r>
        <w:rPr>
          <w:color w:val="auto"/>
        </w:rPr>
        <w:t>分为</w:t>
      </w:r>
      <w:r>
        <w:rPr>
          <w:rFonts w:hint="eastAsia"/>
          <w:color w:val="auto"/>
        </w:rPr>
        <w:t>工程措施</w:t>
      </w:r>
      <w:r>
        <w:rPr>
          <w:rFonts w:hint="eastAsia"/>
          <w:color w:val="auto"/>
          <w:lang w:val="en-US" w:eastAsia="zh-CN"/>
        </w:rPr>
        <w:t>、</w:t>
      </w:r>
      <w:r>
        <w:rPr>
          <w:color w:val="auto"/>
        </w:rPr>
        <w:t>临时措施、独立费用等部分。</w:t>
      </w:r>
    </w:p>
    <w:p w14:paraId="76D2B5F2">
      <w:pPr>
        <w:pStyle w:val="6"/>
        <w:rPr>
          <w:color w:val="auto"/>
        </w:rPr>
      </w:pPr>
      <w:bookmarkStart w:id="166" w:name="_Toc418004969"/>
      <w:bookmarkStart w:id="167" w:name="_Toc416298722"/>
      <w:r>
        <w:rPr>
          <w:rFonts w:hint="eastAsia" w:cs="Times New Roman"/>
          <w:color w:val="auto"/>
        </w:rPr>
        <w:t>7</w:t>
      </w:r>
      <w:r>
        <w:rPr>
          <w:rFonts w:cs="Times New Roman"/>
          <w:color w:val="auto"/>
        </w:rPr>
        <w:t>.1.1.4</w:t>
      </w:r>
      <w:r>
        <w:rPr>
          <w:color w:val="auto"/>
        </w:rPr>
        <w:t>基础价格编制</w:t>
      </w:r>
      <w:bookmarkEnd w:id="166"/>
      <w:bookmarkEnd w:id="167"/>
    </w:p>
    <w:p w14:paraId="3C780FE0">
      <w:pPr>
        <w:keepNext w:val="0"/>
        <w:keepLines w:val="0"/>
        <w:pageBreakBefore w:val="0"/>
        <w:widowControl w:val="0"/>
        <w:numPr>
          <w:ilvl w:val="0"/>
          <w:numId w:val="18"/>
        </w:numPr>
        <w:kinsoku/>
        <w:wordWrap/>
        <w:overflowPunct/>
        <w:topLinePunct w:val="0"/>
        <w:autoSpaceDE/>
        <w:autoSpaceDN/>
        <w:bidi w:val="0"/>
        <w:adjustRightInd/>
        <w:snapToGrid/>
        <w:ind w:left="0" w:leftChars="0" w:firstLine="480" w:firstLineChars="200"/>
        <w:textAlignment w:val="auto"/>
        <w:rPr>
          <w:rFonts w:hint="eastAsia" w:eastAsia="仿宋_GB2312"/>
          <w:color w:val="auto"/>
          <w:lang w:eastAsia="zh-CN"/>
        </w:rPr>
      </w:pPr>
      <w:r>
        <w:rPr>
          <w:rFonts w:hint="eastAsia"/>
          <w:color w:val="auto"/>
          <w:lang w:eastAsia="zh-CN"/>
        </w:rPr>
        <w:t>人工单价</w:t>
      </w:r>
    </w:p>
    <w:p w14:paraId="6DB83E8D">
      <w:pPr>
        <w:bidi w:val="0"/>
        <w:rPr>
          <w:rFonts w:hint="eastAsia" w:eastAsia="仿宋_GB2312"/>
          <w:color w:val="auto"/>
          <w:lang w:eastAsia="zh-CN"/>
        </w:rPr>
      </w:pPr>
      <w:r>
        <w:rPr>
          <w:rFonts w:hint="eastAsia"/>
          <w:color w:val="auto"/>
          <w:lang w:eastAsia="zh-CN"/>
        </w:rPr>
        <w:t>与主体工程一致。</w:t>
      </w:r>
    </w:p>
    <w:p w14:paraId="147A8B9D">
      <w:pPr>
        <w:keepNext w:val="0"/>
        <w:keepLines w:val="0"/>
        <w:pageBreakBefore w:val="0"/>
        <w:widowControl w:val="0"/>
        <w:numPr>
          <w:ilvl w:val="0"/>
          <w:numId w:val="18"/>
        </w:numPr>
        <w:kinsoku/>
        <w:wordWrap/>
        <w:overflowPunct/>
        <w:topLinePunct w:val="0"/>
        <w:autoSpaceDE/>
        <w:autoSpaceDN/>
        <w:bidi w:val="0"/>
        <w:adjustRightInd/>
        <w:snapToGrid/>
        <w:ind w:left="0" w:leftChars="0" w:firstLine="480" w:firstLineChars="200"/>
        <w:textAlignment w:val="auto"/>
        <w:rPr>
          <w:color w:val="auto"/>
        </w:rPr>
      </w:pPr>
      <w:r>
        <w:rPr>
          <w:rFonts w:hAnsi="宋体"/>
          <w:color w:val="auto"/>
        </w:rPr>
        <w:t>主要材料</w:t>
      </w:r>
      <w:r>
        <w:rPr>
          <w:rFonts w:hint="eastAsia" w:hAnsi="宋体"/>
          <w:color w:val="auto"/>
          <w:lang w:eastAsia="zh-CN"/>
        </w:rPr>
        <w:t>概算</w:t>
      </w:r>
      <w:r>
        <w:rPr>
          <w:rFonts w:hAnsi="宋体"/>
          <w:color w:val="auto"/>
        </w:rPr>
        <w:t>价格</w:t>
      </w:r>
    </w:p>
    <w:p w14:paraId="387C77A3">
      <w:pPr>
        <w:ind w:firstLine="480"/>
        <w:rPr>
          <w:color w:val="auto"/>
        </w:rPr>
      </w:pPr>
      <w:r>
        <w:rPr>
          <w:rFonts w:hint="eastAsia"/>
          <w:color w:val="auto"/>
        </w:rPr>
        <w:t>与主体工程一致。</w:t>
      </w:r>
    </w:p>
    <w:p w14:paraId="29631317">
      <w:pPr>
        <w:rPr>
          <w:rFonts w:hint="eastAsia"/>
          <w:b/>
          <w:color w:val="auto"/>
          <w:sz w:val="21"/>
          <w:szCs w:val="21"/>
          <w:lang w:val="zh-CN"/>
        </w:rPr>
      </w:pPr>
      <w:r>
        <w:rPr>
          <w:rFonts w:hint="eastAsia"/>
          <w:b/>
          <w:color w:val="auto"/>
          <w:sz w:val="21"/>
          <w:szCs w:val="21"/>
          <w:lang w:val="zh-CN"/>
        </w:rPr>
        <w:br w:type="page"/>
      </w:r>
    </w:p>
    <w:p w14:paraId="31337516">
      <w:pPr>
        <w:ind w:firstLine="0" w:firstLineChars="0"/>
        <w:jc w:val="center"/>
        <w:rPr>
          <w:rFonts w:hAnsi="宋体"/>
          <w:b/>
          <w:color w:val="auto"/>
          <w:sz w:val="21"/>
          <w:szCs w:val="21"/>
        </w:rPr>
      </w:pPr>
      <w:r>
        <w:rPr>
          <w:rFonts w:hint="eastAsia"/>
          <w:b/>
          <w:color w:val="auto"/>
          <w:sz w:val="21"/>
          <w:szCs w:val="21"/>
          <w:lang w:val="zh-CN"/>
        </w:rPr>
        <w:t>表</w:t>
      </w:r>
      <w:r>
        <w:rPr>
          <w:rFonts w:hint="eastAsia"/>
          <w:b/>
          <w:color w:val="auto"/>
          <w:sz w:val="21"/>
          <w:szCs w:val="21"/>
        </w:rPr>
        <w:t>7</w:t>
      </w:r>
      <w:r>
        <w:rPr>
          <w:rFonts w:hint="eastAsia"/>
          <w:b/>
          <w:color w:val="auto"/>
          <w:sz w:val="21"/>
          <w:szCs w:val="21"/>
          <w:lang w:val="en-US" w:eastAsia="zh-CN"/>
        </w:rPr>
        <w:t>.1</w:t>
      </w:r>
      <w:r>
        <w:rPr>
          <w:rFonts w:hint="eastAsia"/>
          <w:b/>
          <w:color w:val="auto"/>
          <w:sz w:val="21"/>
          <w:szCs w:val="21"/>
        </w:rPr>
        <w:t>-</w:t>
      </w:r>
      <w:r>
        <w:rPr>
          <w:rFonts w:hint="eastAsia"/>
          <w:b/>
          <w:color w:val="auto"/>
          <w:sz w:val="21"/>
          <w:szCs w:val="21"/>
          <w:lang w:val="zh-CN"/>
        </w:rPr>
        <w:t>1</w:t>
      </w:r>
      <w:r>
        <w:rPr>
          <w:rFonts w:hAnsi="宋体"/>
          <w:b/>
          <w:color w:val="auto"/>
          <w:sz w:val="21"/>
          <w:szCs w:val="21"/>
        </w:rPr>
        <w:t>主要材料</w:t>
      </w:r>
      <w:r>
        <w:rPr>
          <w:rFonts w:hint="eastAsia" w:hAnsi="宋体"/>
          <w:b/>
          <w:color w:val="auto"/>
          <w:sz w:val="21"/>
          <w:szCs w:val="21"/>
        </w:rPr>
        <w:t>单价汇总</w:t>
      </w:r>
      <w:r>
        <w:rPr>
          <w:rFonts w:hAnsi="宋体"/>
          <w:b/>
          <w:color w:val="auto"/>
          <w:sz w:val="21"/>
          <w:szCs w:val="21"/>
        </w:rPr>
        <w:t>表</w:t>
      </w:r>
    </w:p>
    <w:tbl>
      <w:tblPr>
        <w:tblStyle w:val="25"/>
        <w:tblW w:w="901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87"/>
        <w:gridCol w:w="1275"/>
        <w:gridCol w:w="987"/>
        <w:gridCol w:w="1440"/>
        <w:gridCol w:w="1137"/>
        <w:gridCol w:w="1320"/>
        <w:gridCol w:w="1868"/>
      </w:tblGrid>
      <w:tr w14:paraId="53F9B2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987" w:type="dxa"/>
            <w:vMerge w:val="restart"/>
            <w:tcBorders>
              <w:tl2br w:val="nil"/>
              <w:tr2bl w:val="nil"/>
            </w:tcBorders>
            <w:shd w:val="clear" w:color="auto" w:fill="auto"/>
            <w:noWrap/>
            <w:tcMar>
              <w:top w:w="15" w:type="dxa"/>
              <w:left w:w="15" w:type="dxa"/>
              <w:right w:w="15" w:type="dxa"/>
            </w:tcMar>
            <w:vAlign w:val="center"/>
          </w:tcPr>
          <w:p w14:paraId="57563805">
            <w:pPr>
              <w:pStyle w:val="34"/>
              <w:rPr>
                <w:color w:val="auto"/>
              </w:rPr>
            </w:pPr>
            <w:r>
              <w:rPr>
                <w:color w:val="auto"/>
              </w:rPr>
              <w:t>序号</w:t>
            </w:r>
          </w:p>
        </w:tc>
        <w:tc>
          <w:tcPr>
            <w:tcW w:w="1275" w:type="dxa"/>
            <w:vMerge w:val="restart"/>
            <w:tcBorders>
              <w:tl2br w:val="nil"/>
              <w:tr2bl w:val="nil"/>
            </w:tcBorders>
            <w:shd w:val="clear" w:color="auto" w:fill="auto"/>
            <w:noWrap/>
            <w:tcMar>
              <w:top w:w="15" w:type="dxa"/>
              <w:left w:w="15" w:type="dxa"/>
              <w:right w:w="15" w:type="dxa"/>
            </w:tcMar>
            <w:vAlign w:val="center"/>
          </w:tcPr>
          <w:p w14:paraId="0C91EF9E">
            <w:pPr>
              <w:pStyle w:val="34"/>
              <w:rPr>
                <w:color w:val="auto"/>
              </w:rPr>
            </w:pPr>
            <w:r>
              <w:rPr>
                <w:rFonts w:hint="eastAsia"/>
                <w:color w:val="auto"/>
              </w:rPr>
              <w:t>名称及规格</w:t>
            </w:r>
          </w:p>
        </w:tc>
        <w:tc>
          <w:tcPr>
            <w:tcW w:w="987" w:type="dxa"/>
            <w:vMerge w:val="restart"/>
            <w:tcBorders>
              <w:tl2br w:val="nil"/>
              <w:tr2bl w:val="nil"/>
            </w:tcBorders>
            <w:shd w:val="clear" w:color="auto" w:fill="auto"/>
            <w:noWrap/>
            <w:tcMar>
              <w:top w:w="15" w:type="dxa"/>
              <w:left w:w="15" w:type="dxa"/>
              <w:right w:w="15" w:type="dxa"/>
            </w:tcMar>
            <w:vAlign w:val="center"/>
          </w:tcPr>
          <w:p w14:paraId="0404758A">
            <w:pPr>
              <w:pStyle w:val="34"/>
              <w:rPr>
                <w:color w:val="auto"/>
              </w:rPr>
            </w:pPr>
            <w:r>
              <w:rPr>
                <w:rFonts w:hint="eastAsia"/>
                <w:color w:val="auto"/>
              </w:rPr>
              <w:t>单位</w:t>
            </w:r>
          </w:p>
        </w:tc>
        <w:tc>
          <w:tcPr>
            <w:tcW w:w="1440" w:type="dxa"/>
            <w:vMerge w:val="restart"/>
            <w:tcBorders>
              <w:tl2br w:val="nil"/>
              <w:tr2bl w:val="nil"/>
            </w:tcBorders>
            <w:shd w:val="clear" w:color="auto" w:fill="auto"/>
            <w:noWrap/>
            <w:tcMar>
              <w:top w:w="15" w:type="dxa"/>
              <w:left w:w="15" w:type="dxa"/>
              <w:right w:w="15" w:type="dxa"/>
            </w:tcMar>
            <w:vAlign w:val="center"/>
          </w:tcPr>
          <w:p w14:paraId="1612B940">
            <w:pPr>
              <w:pStyle w:val="34"/>
              <w:rPr>
                <w:color w:val="auto"/>
              </w:rPr>
            </w:pPr>
            <w:r>
              <w:rPr>
                <w:rFonts w:hint="eastAsia"/>
                <w:color w:val="auto"/>
              </w:rPr>
              <w:t>预算价格</w:t>
            </w:r>
            <w:r>
              <w:rPr>
                <w:color w:val="auto"/>
              </w:rPr>
              <w:t>(</w:t>
            </w:r>
            <w:r>
              <w:rPr>
                <w:rFonts w:hint="eastAsia"/>
                <w:color w:val="auto"/>
              </w:rPr>
              <w:t>元</w:t>
            </w:r>
            <w:r>
              <w:rPr>
                <w:color w:val="auto"/>
              </w:rPr>
              <w:t>)</w:t>
            </w:r>
          </w:p>
        </w:tc>
        <w:tc>
          <w:tcPr>
            <w:tcW w:w="4325" w:type="dxa"/>
            <w:gridSpan w:val="3"/>
            <w:tcBorders>
              <w:tl2br w:val="nil"/>
              <w:tr2bl w:val="nil"/>
            </w:tcBorders>
            <w:shd w:val="clear" w:color="auto" w:fill="auto"/>
            <w:noWrap/>
            <w:tcMar>
              <w:top w:w="15" w:type="dxa"/>
              <w:left w:w="15" w:type="dxa"/>
              <w:right w:w="15" w:type="dxa"/>
            </w:tcMar>
            <w:vAlign w:val="center"/>
          </w:tcPr>
          <w:p w14:paraId="33BBD31F">
            <w:pPr>
              <w:pStyle w:val="34"/>
              <w:rPr>
                <w:color w:val="auto"/>
              </w:rPr>
            </w:pPr>
            <w:r>
              <w:rPr>
                <w:color w:val="auto"/>
              </w:rPr>
              <w:t>其中</w:t>
            </w:r>
          </w:p>
        </w:tc>
      </w:tr>
      <w:tr w14:paraId="3B249A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987" w:type="dxa"/>
            <w:vMerge w:val="continue"/>
            <w:tcBorders>
              <w:tl2br w:val="nil"/>
              <w:tr2bl w:val="nil"/>
            </w:tcBorders>
            <w:shd w:val="clear" w:color="auto" w:fill="auto"/>
            <w:noWrap/>
            <w:tcMar>
              <w:top w:w="15" w:type="dxa"/>
              <w:left w:w="15" w:type="dxa"/>
              <w:right w:w="15" w:type="dxa"/>
            </w:tcMar>
            <w:vAlign w:val="center"/>
          </w:tcPr>
          <w:p w14:paraId="7AEF6792">
            <w:pPr>
              <w:pStyle w:val="34"/>
              <w:rPr>
                <w:color w:val="auto"/>
              </w:rPr>
            </w:pPr>
          </w:p>
        </w:tc>
        <w:tc>
          <w:tcPr>
            <w:tcW w:w="1275" w:type="dxa"/>
            <w:vMerge w:val="continue"/>
            <w:tcBorders>
              <w:tl2br w:val="nil"/>
              <w:tr2bl w:val="nil"/>
            </w:tcBorders>
            <w:shd w:val="clear" w:color="auto" w:fill="auto"/>
            <w:noWrap/>
            <w:tcMar>
              <w:top w:w="15" w:type="dxa"/>
              <w:left w:w="15" w:type="dxa"/>
              <w:right w:w="15" w:type="dxa"/>
            </w:tcMar>
            <w:vAlign w:val="center"/>
          </w:tcPr>
          <w:p w14:paraId="007C281B">
            <w:pPr>
              <w:pStyle w:val="34"/>
              <w:rPr>
                <w:color w:val="auto"/>
              </w:rPr>
            </w:pPr>
          </w:p>
        </w:tc>
        <w:tc>
          <w:tcPr>
            <w:tcW w:w="987" w:type="dxa"/>
            <w:vMerge w:val="continue"/>
            <w:tcBorders>
              <w:tl2br w:val="nil"/>
              <w:tr2bl w:val="nil"/>
            </w:tcBorders>
            <w:shd w:val="clear" w:color="auto" w:fill="auto"/>
            <w:noWrap/>
            <w:tcMar>
              <w:top w:w="15" w:type="dxa"/>
              <w:left w:w="15" w:type="dxa"/>
              <w:right w:w="15" w:type="dxa"/>
            </w:tcMar>
            <w:vAlign w:val="center"/>
          </w:tcPr>
          <w:p w14:paraId="7A82A2AD">
            <w:pPr>
              <w:pStyle w:val="34"/>
              <w:rPr>
                <w:color w:val="auto"/>
              </w:rPr>
            </w:pPr>
          </w:p>
        </w:tc>
        <w:tc>
          <w:tcPr>
            <w:tcW w:w="1440" w:type="dxa"/>
            <w:vMerge w:val="continue"/>
            <w:tcBorders>
              <w:tl2br w:val="nil"/>
              <w:tr2bl w:val="nil"/>
            </w:tcBorders>
            <w:shd w:val="clear" w:color="auto" w:fill="auto"/>
            <w:noWrap/>
            <w:tcMar>
              <w:top w:w="15" w:type="dxa"/>
              <w:left w:w="15" w:type="dxa"/>
              <w:right w:w="15" w:type="dxa"/>
            </w:tcMar>
            <w:vAlign w:val="center"/>
          </w:tcPr>
          <w:p w14:paraId="43106BC0">
            <w:pPr>
              <w:pStyle w:val="34"/>
              <w:rPr>
                <w:color w:val="auto"/>
              </w:rPr>
            </w:pPr>
          </w:p>
        </w:tc>
        <w:tc>
          <w:tcPr>
            <w:tcW w:w="1137" w:type="dxa"/>
            <w:tcBorders>
              <w:tl2br w:val="nil"/>
              <w:tr2bl w:val="nil"/>
            </w:tcBorders>
            <w:shd w:val="clear" w:color="auto" w:fill="auto"/>
            <w:noWrap/>
            <w:tcMar>
              <w:top w:w="15" w:type="dxa"/>
              <w:left w:w="15" w:type="dxa"/>
              <w:right w:w="15" w:type="dxa"/>
            </w:tcMar>
            <w:vAlign w:val="center"/>
          </w:tcPr>
          <w:p w14:paraId="258F8CF3">
            <w:pPr>
              <w:pStyle w:val="34"/>
              <w:rPr>
                <w:color w:val="auto"/>
              </w:rPr>
            </w:pPr>
            <w:r>
              <w:rPr>
                <w:rFonts w:hint="eastAsia"/>
                <w:color w:val="auto"/>
              </w:rPr>
              <w:t>原价</w:t>
            </w:r>
            <w:r>
              <w:rPr>
                <w:color w:val="auto"/>
              </w:rPr>
              <w:t>(</w:t>
            </w:r>
            <w:r>
              <w:rPr>
                <w:rFonts w:hint="eastAsia"/>
                <w:color w:val="auto"/>
              </w:rPr>
              <w:t>元</w:t>
            </w:r>
            <w:r>
              <w:rPr>
                <w:color w:val="auto"/>
              </w:rPr>
              <w:t>)</w:t>
            </w:r>
          </w:p>
        </w:tc>
        <w:tc>
          <w:tcPr>
            <w:tcW w:w="1320" w:type="dxa"/>
            <w:tcBorders>
              <w:tl2br w:val="nil"/>
              <w:tr2bl w:val="nil"/>
            </w:tcBorders>
            <w:shd w:val="clear" w:color="auto" w:fill="auto"/>
            <w:noWrap/>
            <w:tcMar>
              <w:top w:w="15" w:type="dxa"/>
              <w:left w:w="15" w:type="dxa"/>
              <w:right w:w="15" w:type="dxa"/>
            </w:tcMar>
            <w:vAlign w:val="center"/>
          </w:tcPr>
          <w:p w14:paraId="25CFF200">
            <w:pPr>
              <w:pStyle w:val="34"/>
              <w:rPr>
                <w:color w:val="auto"/>
              </w:rPr>
            </w:pPr>
            <w:r>
              <w:rPr>
                <w:rFonts w:hint="eastAsia"/>
                <w:color w:val="auto"/>
              </w:rPr>
              <w:t>运杂费</w:t>
            </w:r>
            <w:r>
              <w:rPr>
                <w:color w:val="auto"/>
              </w:rPr>
              <w:t>(</w:t>
            </w:r>
            <w:r>
              <w:rPr>
                <w:rFonts w:hint="eastAsia"/>
                <w:color w:val="auto"/>
              </w:rPr>
              <w:t>元</w:t>
            </w:r>
            <w:r>
              <w:rPr>
                <w:color w:val="auto"/>
              </w:rPr>
              <w:t>)</w:t>
            </w:r>
          </w:p>
        </w:tc>
        <w:tc>
          <w:tcPr>
            <w:tcW w:w="1868" w:type="dxa"/>
            <w:tcBorders>
              <w:tl2br w:val="nil"/>
              <w:tr2bl w:val="nil"/>
            </w:tcBorders>
            <w:shd w:val="clear" w:color="auto" w:fill="auto"/>
            <w:noWrap/>
            <w:tcMar>
              <w:top w:w="15" w:type="dxa"/>
              <w:left w:w="15" w:type="dxa"/>
              <w:right w:w="15" w:type="dxa"/>
            </w:tcMar>
            <w:vAlign w:val="center"/>
          </w:tcPr>
          <w:p w14:paraId="2DE69B2B">
            <w:pPr>
              <w:pStyle w:val="34"/>
              <w:rPr>
                <w:color w:val="auto"/>
              </w:rPr>
            </w:pPr>
            <w:r>
              <w:rPr>
                <w:rFonts w:hint="eastAsia"/>
                <w:color w:val="auto"/>
              </w:rPr>
              <w:t>采购及保管费</w:t>
            </w:r>
            <w:r>
              <w:rPr>
                <w:color w:val="auto"/>
              </w:rPr>
              <w:t>(</w:t>
            </w:r>
            <w:r>
              <w:rPr>
                <w:rFonts w:hint="eastAsia"/>
                <w:color w:val="auto"/>
              </w:rPr>
              <w:t>元</w:t>
            </w:r>
            <w:r>
              <w:rPr>
                <w:color w:val="auto"/>
              </w:rPr>
              <w:t>)</w:t>
            </w:r>
          </w:p>
        </w:tc>
      </w:tr>
      <w:tr w14:paraId="145B1A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987" w:type="dxa"/>
            <w:tcBorders>
              <w:tl2br w:val="nil"/>
              <w:tr2bl w:val="nil"/>
            </w:tcBorders>
            <w:shd w:val="clear" w:color="auto" w:fill="auto"/>
            <w:noWrap/>
            <w:tcMar>
              <w:top w:w="15" w:type="dxa"/>
              <w:left w:w="15" w:type="dxa"/>
              <w:right w:w="15" w:type="dxa"/>
            </w:tcMar>
            <w:vAlign w:val="center"/>
          </w:tcPr>
          <w:p w14:paraId="37DAB2FD">
            <w:pPr>
              <w:pStyle w:val="34"/>
              <w:rPr>
                <w:color w:val="auto"/>
              </w:rPr>
            </w:pPr>
            <w:r>
              <w:rPr>
                <w:color w:val="auto"/>
              </w:rPr>
              <w:t>1</w:t>
            </w:r>
          </w:p>
        </w:tc>
        <w:tc>
          <w:tcPr>
            <w:tcW w:w="1275" w:type="dxa"/>
            <w:tcBorders>
              <w:tl2br w:val="nil"/>
              <w:tr2bl w:val="nil"/>
            </w:tcBorders>
            <w:shd w:val="clear" w:color="auto" w:fill="auto"/>
            <w:noWrap/>
            <w:tcMar>
              <w:top w:w="15" w:type="dxa"/>
              <w:left w:w="15" w:type="dxa"/>
              <w:right w:w="15" w:type="dxa"/>
            </w:tcMar>
            <w:vAlign w:val="center"/>
          </w:tcPr>
          <w:p w14:paraId="27F9DB88">
            <w:pPr>
              <w:pStyle w:val="34"/>
              <w:rPr>
                <w:color w:val="auto"/>
              </w:rPr>
            </w:pPr>
            <w:r>
              <w:rPr>
                <w:rFonts w:hint="eastAsia"/>
                <w:color w:val="auto"/>
              </w:rPr>
              <w:t>柴油</w:t>
            </w:r>
          </w:p>
        </w:tc>
        <w:tc>
          <w:tcPr>
            <w:tcW w:w="987" w:type="dxa"/>
            <w:tcBorders>
              <w:tl2br w:val="nil"/>
              <w:tr2bl w:val="nil"/>
            </w:tcBorders>
            <w:shd w:val="clear" w:color="auto" w:fill="auto"/>
            <w:noWrap/>
            <w:tcMar>
              <w:top w:w="15" w:type="dxa"/>
              <w:left w:w="15" w:type="dxa"/>
              <w:right w:w="15" w:type="dxa"/>
            </w:tcMar>
            <w:vAlign w:val="center"/>
          </w:tcPr>
          <w:p w14:paraId="3F6B389A">
            <w:pPr>
              <w:pStyle w:val="34"/>
              <w:rPr>
                <w:color w:val="auto"/>
              </w:rPr>
            </w:pPr>
            <w:r>
              <w:rPr>
                <w:color w:val="auto"/>
              </w:rPr>
              <w:t>t</w:t>
            </w:r>
          </w:p>
        </w:tc>
        <w:tc>
          <w:tcPr>
            <w:tcW w:w="1440" w:type="dxa"/>
            <w:tcBorders>
              <w:tl2br w:val="nil"/>
              <w:tr2bl w:val="nil"/>
            </w:tcBorders>
            <w:shd w:val="clear" w:color="auto" w:fill="auto"/>
            <w:noWrap/>
            <w:tcMar>
              <w:top w:w="15" w:type="dxa"/>
              <w:left w:w="15" w:type="dxa"/>
              <w:right w:w="15" w:type="dxa"/>
            </w:tcMar>
            <w:vAlign w:val="center"/>
          </w:tcPr>
          <w:p w14:paraId="5AE295D8">
            <w:pPr>
              <w:pStyle w:val="34"/>
              <w:rPr>
                <w:rFonts w:hint="default" w:eastAsia="仿宋_GB2312"/>
                <w:color w:val="auto"/>
                <w:lang w:val="en-US" w:eastAsia="zh-CN"/>
              </w:rPr>
            </w:pPr>
            <w:r>
              <w:rPr>
                <w:rFonts w:hint="eastAsia"/>
                <w:color w:val="auto"/>
                <w:lang w:val="en-US" w:eastAsia="zh-CN"/>
              </w:rPr>
              <w:t>3000</w:t>
            </w:r>
          </w:p>
        </w:tc>
        <w:tc>
          <w:tcPr>
            <w:tcW w:w="1137" w:type="dxa"/>
            <w:tcBorders>
              <w:tl2br w:val="nil"/>
              <w:tr2bl w:val="nil"/>
            </w:tcBorders>
            <w:shd w:val="clear" w:color="auto" w:fill="auto"/>
            <w:noWrap/>
            <w:tcMar>
              <w:top w:w="15" w:type="dxa"/>
              <w:left w:w="15" w:type="dxa"/>
              <w:right w:w="15" w:type="dxa"/>
            </w:tcMar>
            <w:vAlign w:val="center"/>
          </w:tcPr>
          <w:p w14:paraId="4FB90FDB">
            <w:pPr>
              <w:pStyle w:val="34"/>
              <w:rPr>
                <w:rFonts w:hint="default" w:eastAsia="仿宋_GB2312"/>
                <w:color w:val="auto"/>
                <w:lang w:val="en-US" w:eastAsia="zh-CN"/>
              </w:rPr>
            </w:pPr>
            <w:r>
              <w:rPr>
                <w:rFonts w:hint="eastAsia"/>
                <w:color w:val="auto"/>
                <w:lang w:val="en-US" w:eastAsia="zh-CN"/>
              </w:rPr>
              <w:t>3000</w:t>
            </w:r>
          </w:p>
        </w:tc>
        <w:tc>
          <w:tcPr>
            <w:tcW w:w="1320" w:type="dxa"/>
            <w:tcBorders>
              <w:tl2br w:val="nil"/>
              <w:tr2bl w:val="nil"/>
            </w:tcBorders>
            <w:shd w:val="clear" w:color="auto" w:fill="auto"/>
            <w:noWrap/>
            <w:tcMar>
              <w:top w:w="15" w:type="dxa"/>
              <w:left w:w="15" w:type="dxa"/>
              <w:right w:w="15" w:type="dxa"/>
            </w:tcMar>
            <w:vAlign w:val="center"/>
          </w:tcPr>
          <w:p w14:paraId="5BF9C94A">
            <w:pPr>
              <w:pStyle w:val="34"/>
              <w:rPr>
                <w:rFonts w:hint="eastAsia" w:eastAsia="仿宋_GB2312"/>
                <w:color w:val="auto"/>
                <w:lang w:val="en-US" w:eastAsia="zh-CN"/>
              </w:rPr>
            </w:pPr>
            <w:r>
              <w:rPr>
                <w:rFonts w:hint="eastAsia"/>
                <w:color w:val="auto"/>
                <w:lang w:val="en-US" w:eastAsia="zh-CN"/>
              </w:rPr>
              <w:t>/</w:t>
            </w:r>
          </w:p>
        </w:tc>
        <w:tc>
          <w:tcPr>
            <w:tcW w:w="1868" w:type="dxa"/>
            <w:tcBorders>
              <w:tl2br w:val="nil"/>
              <w:tr2bl w:val="nil"/>
            </w:tcBorders>
            <w:shd w:val="clear" w:color="auto" w:fill="auto"/>
            <w:noWrap/>
            <w:tcMar>
              <w:top w:w="15" w:type="dxa"/>
              <w:left w:w="15" w:type="dxa"/>
              <w:right w:w="15" w:type="dxa"/>
            </w:tcMar>
            <w:vAlign w:val="center"/>
          </w:tcPr>
          <w:p w14:paraId="096C7963">
            <w:pPr>
              <w:pStyle w:val="34"/>
              <w:rPr>
                <w:rFonts w:hint="eastAsia" w:eastAsia="仿宋_GB2312"/>
                <w:color w:val="auto"/>
                <w:lang w:val="en-US" w:eastAsia="zh-CN"/>
              </w:rPr>
            </w:pPr>
            <w:r>
              <w:rPr>
                <w:rFonts w:hint="eastAsia"/>
                <w:color w:val="auto"/>
                <w:lang w:val="en-US" w:eastAsia="zh-CN"/>
              </w:rPr>
              <w:t>/</w:t>
            </w:r>
          </w:p>
        </w:tc>
      </w:tr>
      <w:tr w14:paraId="32775D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987" w:type="dxa"/>
            <w:tcBorders>
              <w:tl2br w:val="nil"/>
              <w:tr2bl w:val="nil"/>
            </w:tcBorders>
            <w:shd w:val="clear" w:color="auto" w:fill="auto"/>
            <w:noWrap/>
            <w:tcMar>
              <w:top w:w="15" w:type="dxa"/>
              <w:left w:w="15" w:type="dxa"/>
              <w:right w:w="15" w:type="dxa"/>
            </w:tcMar>
            <w:vAlign w:val="center"/>
          </w:tcPr>
          <w:p w14:paraId="055B1FFF">
            <w:pPr>
              <w:pStyle w:val="34"/>
              <w:rPr>
                <w:color w:val="auto"/>
              </w:rPr>
            </w:pPr>
            <w:r>
              <w:rPr>
                <w:color w:val="auto"/>
              </w:rPr>
              <w:t>2</w:t>
            </w:r>
          </w:p>
        </w:tc>
        <w:tc>
          <w:tcPr>
            <w:tcW w:w="1275" w:type="dxa"/>
            <w:tcBorders>
              <w:tl2br w:val="nil"/>
              <w:tr2bl w:val="nil"/>
            </w:tcBorders>
            <w:shd w:val="clear" w:color="auto" w:fill="auto"/>
            <w:noWrap/>
            <w:tcMar>
              <w:top w:w="15" w:type="dxa"/>
              <w:left w:w="15" w:type="dxa"/>
              <w:right w:w="15" w:type="dxa"/>
            </w:tcMar>
            <w:vAlign w:val="center"/>
          </w:tcPr>
          <w:p w14:paraId="6601C3FF">
            <w:pPr>
              <w:pStyle w:val="34"/>
              <w:rPr>
                <w:color w:val="auto"/>
              </w:rPr>
            </w:pPr>
            <w:r>
              <w:rPr>
                <w:color w:val="auto"/>
              </w:rPr>
              <w:t>32.5</w:t>
            </w:r>
            <w:r>
              <w:rPr>
                <w:rFonts w:hint="eastAsia"/>
                <w:color w:val="auto"/>
              </w:rPr>
              <w:t>水泥</w:t>
            </w:r>
          </w:p>
        </w:tc>
        <w:tc>
          <w:tcPr>
            <w:tcW w:w="987" w:type="dxa"/>
            <w:tcBorders>
              <w:tl2br w:val="nil"/>
              <w:tr2bl w:val="nil"/>
            </w:tcBorders>
            <w:shd w:val="clear" w:color="auto" w:fill="auto"/>
            <w:noWrap/>
            <w:tcMar>
              <w:top w:w="15" w:type="dxa"/>
              <w:left w:w="15" w:type="dxa"/>
              <w:right w:w="15" w:type="dxa"/>
            </w:tcMar>
            <w:vAlign w:val="center"/>
          </w:tcPr>
          <w:p w14:paraId="7E8BBAE7">
            <w:pPr>
              <w:pStyle w:val="34"/>
              <w:rPr>
                <w:color w:val="auto"/>
              </w:rPr>
            </w:pPr>
            <w:r>
              <w:rPr>
                <w:color w:val="auto"/>
              </w:rPr>
              <w:t>t</w:t>
            </w:r>
          </w:p>
        </w:tc>
        <w:tc>
          <w:tcPr>
            <w:tcW w:w="1440" w:type="dxa"/>
            <w:tcBorders>
              <w:tl2br w:val="nil"/>
              <w:tr2bl w:val="nil"/>
            </w:tcBorders>
            <w:shd w:val="clear" w:color="auto" w:fill="auto"/>
            <w:noWrap/>
            <w:tcMar>
              <w:top w:w="15" w:type="dxa"/>
              <w:left w:w="15" w:type="dxa"/>
              <w:right w:w="15" w:type="dxa"/>
            </w:tcMar>
            <w:vAlign w:val="center"/>
          </w:tcPr>
          <w:p w14:paraId="33019701">
            <w:pPr>
              <w:pStyle w:val="34"/>
              <w:rPr>
                <w:color w:val="auto"/>
              </w:rPr>
            </w:pPr>
            <w:r>
              <w:rPr>
                <w:color w:val="auto"/>
              </w:rPr>
              <w:t xml:space="preserve">597.77 </w:t>
            </w:r>
          </w:p>
        </w:tc>
        <w:tc>
          <w:tcPr>
            <w:tcW w:w="1137" w:type="dxa"/>
            <w:tcBorders>
              <w:tl2br w:val="nil"/>
              <w:tr2bl w:val="nil"/>
            </w:tcBorders>
            <w:shd w:val="clear" w:color="auto" w:fill="auto"/>
            <w:noWrap/>
            <w:tcMar>
              <w:top w:w="15" w:type="dxa"/>
              <w:left w:w="15" w:type="dxa"/>
              <w:right w:w="15" w:type="dxa"/>
            </w:tcMar>
            <w:vAlign w:val="center"/>
          </w:tcPr>
          <w:p w14:paraId="675C771A">
            <w:pPr>
              <w:pStyle w:val="34"/>
              <w:rPr>
                <w:color w:val="auto"/>
              </w:rPr>
            </w:pPr>
            <w:r>
              <w:rPr>
                <w:color w:val="auto"/>
              </w:rPr>
              <w:t xml:space="preserve">565.00 </w:t>
            </w:r>
          </w:p>
        </w:tc>
        <w:tc>
          <w:tcPr>
            <w:tcW w:w="1320" w:type="dxa"/>
            <w:tcBorders>
              <w:tl2br w:val="nil"/>
              <w:tr2bl w:val="nil"/>
            </w:tcBorders>
            <w:shd w:val="clear" w:color="auto" w:fill="auto"/>
            <w:noWrap/>
            <w:tcMar>
              <w:top w:w="15" w:type="dxa"/>
              <w:left w:w="15" w:type="dxa"/>
              <w:right w:w="15" w:type="dxa"/>
            </w:tcMar>
            <w:vAlign w:val="center"/>
          </w:tcPr>
          <w:p w14:paraId="2ED3B60A">
            <w:pPr>
              <w:pStyle w:val="34"/>
              <w:rPr>
                <w:color w:val="auto"/>
              </w:rPr>
            </w:pPr>
            <w:r>
              <w:rPr>
                <w:color w:val="auto"/>
              </w:rPr>
              <w:t xml:space="preserve">16.95 </w:t>
            </w:r>
          </w:p>
        </w:tc>
        <w:tc>
          <w:tcPr>
            <w:tcW w:w="1868" w:type="dxa"/>
            <w:tcBorders>
              <w:tl2br w:val="nil"/>
              <w:tr2bl w:val="nil"/>
            </w:tcBorders>
            <w:shd w:val="clear" w:color="auto" w:fill="auto"/>
            <w:noWrap/>
            <w:tcMar>
              <w:top w:w="15" w:type="dxa"/>
              <w:left w:w="15" w:type="dxa"/>
              <w:right w:w="15" w:type="dxa"/>
            </w:tcMar>
            <w:vAlign w:val="center"/>
          </w:tcPr>
          <w:p w14:paraId="6A813ECE">
            <w:pPr>
              <w:pStyle w:val="34"/>
              <w:rPr>
                <w:color w:val="auto"/>
              </w:rPr>
            </w:pPr>
            <w:r>
              <w:rPr>
                <w:color w:val="auto"/>
              </w:rPr>
              <w:t xml:space="preserve">15.82 </w:t>
            </w:r>
          </w:p>
        </w:tc>
      </w:tr>
      <w:tr w14:paraId="6160B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987" w:type="dxa"/>
            <w:tcBorders>
              <w:tl2br w:val="nil"/>
              <w:tr2bl w:val="nil"/>
            </w:tcBorders>
            <w:shd w:val="clear" w:color="auto" w:fill="auto"/>
            <w:noWrap/>
            <w:tcMar>
              <w:top w:w="15" w:type="dxa"/>
              <w:left w:w="15" w:type="dxa"/>
              <w:right w:w="15" w:type="dxa"/>
            </w:tcMar>
            <w:vAlign w:val="center"/>
          </w:tcPr>
          <w:p w14:paraId="4D62E638">
            <w:pPr>
              <w:pStyle w:val="34"/>
              <w:rPr>
                <w:color w:val="auto"/>
              </w:rPr>
            </w:pPr>
            <w:r>
              <w:rPr>
                <w:color w:val="auto"/>
              </w:rPr>
              <w:t>3</w:t>
            </w:r>
          </w:p>
        </w:tc>
        <w:tc>
          <w:tcPr>
            <w:tcW w:w="1275" w:type="dxa"/>
            <w:tcBorders>
              <w:tl2br w:val="nil"/>
              <w:tr2bl w:val="nil"/>
            </w:tcBorders>
            <w:shd w:val="clear" w:color="auto" w:fill="auto"/>
            <w:noWrap/>
            <w:tcMar>
              <w:top w:w="15" w:type="dxa"/>
              <w:left w:w="15" w:type="dxa"/>
              <w:right w:w="15" w:type="dxa"/>
            </w:tcMar>
            <w:vAlign w:val="center"/>
          </w:tcPr>
          <w:p w14:paraId="752627DA">
            <w:pPr>
              <w:pStyle w:val="34"/>
              <w:rPr>
                <w:color w:val="auto"/>
              </w:rPr>
            </w:pPr>
            <w:r>
              <w:rPr>
                <w:rFonts w:hint="eastAsia"/>
                <w:color w:val="auto"/>
              </w:rPr>
              <w:t>碎石</w:t>
            </w:r>
          </w:p>
        </w:tc>
        <w:tc>
          <w:tcPr>
            <w:tcW w:w="987" w:type="dxa"/>
            <w:tcBorders>
              <w:tl2br w:val="nil"/>
              <w:tr2bl w:val="nil"/>
            </w:tcBorders>
            <w:shd w:val="clear" w:color="auto" w:fill="auto"/>
            <w:noWrap/>
            <w:tcMar>
              <w:top w:w="15" w:type="dxa"/>
              <w:left w:w="15" w:type="dxa"/>
              <w:right w:w="15" w:type="dxa"/>
            </w:tcMar>
            <w:vAlign w:val="center"/>
          </w:tcPr>
          <w:p w14:paraId="2ABF1D03">
            <w:pPr>
              <w:pStyle w:val="34"/>
              <w:rPr>
                <w:color w:val="auto"/>
              </w:rPr>
            </w:pPr>
            <w:r>
              <w:rPr>
                <w:color w:val="auto"/>
              </w:rPr>
              <w:t>m</w:t>
            </w:r>
            <w:r>
              <w:rPr>
                <w:color w:val="auto"/>
                <w:vertAlign w:val="superscript"/>
              </w:rPr>
              <w:t>3</w:t>
            </w:r>
          </w:p>
        </w:tc>
        <w:tc>
          <w:tcPr>
            <w:tcW w:w="1440" w:type="dxa"/>
            <w:tcBorders>
              <w:tl2br w:val="nil"/>
              <w:tr2bl w:val="nil"/>
            </w:tcBorders>
            <w:shd w:val="clear" w:color="auto" w:fill="auto"/>
            <w:noWrap/>
            <w:tcMar>
              <w:top w:w="15" w:type="dxa"/>
              <w:left w:w="15" w:type="dxa"/>
              <w:right w:w="15" w:type="dxa"/>
            </w:tcMar>
            <w:vAlign w:val="center"/>
          </w:tcPr>
          <w:p w14:paraId="400CD45A">
            <w:pPr>
              <w:pStyle w:val="34"/>
              <w:rPr>
                <w:color w:val="auto"/>
              </w:rPr>
            </w:pPr>
            <w:r>
              <w:rPr>
                <w:color w:val="auto"/>
              </w:rPr>
              <w:t xml:space="preserve">89.93 </w:t>
            </w:r>
          </w:p>
        </w:tc>
        <w:tc>
          <w:tcPr>
            <w:tcW w:w="1137" w:type="dxa"/>
            <w:tcBorders>
              <w:tl2br w:val="nil"/>
              <w:tr2bl w:val="nil"/>
            </w:tcBorders>
            <w:shd w:val="clear" w:color="auto" w:fill="auto"/>
            <w:noWrap/>
            <w:tcMar>
              <w:top w:w="15" w:type="dxa"/>
              <w:left w:w="15" w:type="dxa"/>
              <w:right w:w="15" w:type="dxa"/>
            </w:tcMar>
            <w:vAlign w:val="center"/>
          </w:tcPr>
          <w:p w14:paraId="0846BC1B">
            <w:pPr>
              <w:pStyle w:val="34"/>
              <w:rPr>
                <w:color w:val="auto"/>
              </w:rPr>
            </w:pPr>
            <w:r>
              <w:rPr>
                <w:color w:val="auto"/>
              </w:rPr>
              <w:t xml:space="preserve">85.00 </w:t>
            </w:r>
          </w:p>
        </w:tc>
        <w:tc>
          <w:tcPr>
            <w:tcW w:w="1320" w:type="dxa"/>
            <w:tcBorders>
              <w:tl2br w:val="nil"/>
              <w:tr2bl w:val="nil"/>
            </w:tcBorders>
            <w:shd w:val="clear" w:color="auto" w:fill="auto"/>
            <w:noWrap/>
            <w:tcMar>
              <w:top w:w="15" w:type="dxa"/>
              <w:left w:w="15" w:type="dxa"/>
              <w:right w:w="15" w:type="dxa"/>
            </w:tcMar>
            <w:vAlign w:val="center"/>
          </w:tcPr>
          <w:p w14:paraId="0FA6FB97">
            <w:pPr>
              <w:pStyle w:val="34"/>
              <w:rPr>
                <w:color w:val="auto"/>
              </w:rPr>
            </w:pPr>
            <w:r>
              <w:rPr>
                <w:color w:val="auto"/>
              </w:rPr>
              <w:t xml:space="preserve">2.55 </w:t>
            </w:r>
          </w:p>
        </w:tc>
        <w:tc>
          <w:tcPr>
            <w:tcW w:w="1868" w:type="dxa"/>
            <w:tcBorders>
              <w:tl2br w:val="nil"/>
              <w:tr2bl w:val="nil"/>
            </w:tcBorders>
            <w:shd w:val="clear" w:color="auto" w:fill="auto"/>
            <w:noWrap/>
            <w:tcMar>
              <w:top w:w="15" w:type="dxa"/>
              <w:left w:w="15" w:type="dxa"/>
              <w:right w:w="15" w:type="dxa"/>
            </w:tcMar>
            <w:vAlign w:val="center"/>
          </w:tcPr>
          <w:p w14:paraId="7D930923">
            <w:pPr>
              <w:pStyle w:val="34"/>
              <w:rPr>
                <w:color w:val="auto"/>
              </w:rPr>
            </w:pPr>
            <w:r>
              <w:rPr>
                <w:rFonts w:hint="eastAsia"/>
                <w:color w:val="auto"/>
                <w:lang w:eastAsia="zh-CN"/>
              </w:rPr>
              <w:t>2.11</w:t>
            </w:r>
            <w:r>
              <w:rPr>
                <w:color w:val="auto"/>
              </w:rPr>
              <w:t xml:space="preserve"> </w:t>
            </w:r>
          </w:p>
        </w:tc>
      </w:tr>
      <w:tr w14:paraId="66AD1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987" w:type="dxa"/>
            <w:tcBorders>
              <w:tl2br w:val="nil"/>
              <w:tr2bl w:val="nil"/>
            </w:tcBorders>
            <w:shd w:val="clear" w:color="auto" w:fill="auto"/>
            <w:noWrap/>
            <w:tcMar>
              <w:top w:w="15" w:type="dxa"/>
              <w:left w:w="15" w:type="dxa"/>
              <w:right w:w="15" w:type="dxa"/>
            </w:tcMar>
            <w:vAlign w:val="center"/>
          </w:tcPr>
          <w:p w14:paraId="2FF44F7C">
            <w:pPr>
              <w:pStyle w:val="34"/>
              <w:rPr>
                <w:color w:val="auto"/>
              </w:rPr>
            </w:pPr>
            <w:r>
              <w:rPr>
                <w:color w:val="auto"/>
              </w:rPr>
              <w:t>4</w:t>
            </w:r>
          </w:p>
        </w:tc>
        <w:tc>
          <w:tcPr>
            <w:tcW w:w="1275" w:type="dxa"/>
            <w:tcBorders>
              <w:tl2br w:val="nil"/>
              <w:tr2bl w:val="nil"/>
            </w:tcBorders>
            <w:shd w:val="clear" w:color="auto" w:fill="auto"/>
            <w:noWrap/>
            <w:tcMar>
              <w:top w:w="15" w:type="dxa"/>
              <w:left w:w="15" w:type="dxa"/>
              <w:right w:w="15" w:type="dxa"/>
            </w:tcMar>
            <w:vAlign w:val="center"/>
          </w:tcPr>
          <w:p w14:paraId="02246FFE">
            <w:pPr>
              <w:pStyle w:val="34"/>
              <w:rPr>
                <w:color w:val="auto"/>
              </w:rPr>
            </w:pPr>
            <w:r>
              <w:rPr>
                <w:rFonts w:hint="eastAsia"/>
                <w:color w:val="auto"/>
              </w:rPr>
              <w:t>砂</w:t>
            </w:r>
          </w:p>
        </w:tc>
        <w:tc>
          <w:tcPr>
            <w:tcW w:w="987" w:type="dxa"/>
            <w:tcBorders>
              <w:tl2br w:val="nil"/>
              <w:tr2bl w:val="nil"/>
            </w:tcBorders>
            <w:shd w:val="clear" w:color="auto" w:fill="auto"/>
            <w:noWrap/>
            <w:tcMar>
              <w:top w:w="15" w:type="dxa"/>
              <w:left w:w="15" w:type="dxa"/>
              <w:right w:w="15" w:type="dxa"/>
            </w:tcMar>
            <w:vAlign w:val="center"/>
          </w:tcPr>
          <w:p w14:paraId="0F2E6226">
            <w:pPr>
              <w:pStyle w:val="34"/>
              <w:rPr>
                <w:color w:val="auto"/>
              </w:rPr>
            </w:pPr>
            <w:r>
              <w:rPr>
                <w:color w:val="auto"/>
              </w:rPr>
              <w:t>m</w:t>
            </w:r>
            <w:r>
              <w:rPr>
                <w:color w:val="auto"/>
                <w:vertAlign w:val="superscript"/>
              </w:rPr>
              <w:t>3</w:t>
            </w:r>
          </w:p>
        </w:tc>
        <w:tc>
          <w:tcPr>
            <w:tcW w:w="1440" w:type="dxa"/>
            <w:tcBorders>
              <w:tl2br w:val="nil"/>
              <w:tr2bl w:val="nil"/>
            </w:tcBorders>
            <w:shd w:val="clear" w:color="auto" w:fill="auto"/>
            <w:noWrap/>
            <w:tcMar>
              <w:top w:w="15" w:type="dxa"/>
              <w:left w:w="15" w:type="dxa"/>
              <w:right w:w="15" w:type="dxa"/>
            </w:tcMar>
            <w:vAlign w:val="center"/>
          </w:tcPr>
          <w:p w14:paraId="639F5471">
            <w:pPr>
              <w:pStyle w:val="34"/>
              <w:rPr>
                <w:color w:val="auto"/>
              </w:rPr>
            </w:pPr>
            <w:r>
              <w:rPr>
                <w:color w:val="auto"/>
              </w:rPr>
              <w:t xml:space="preserve">163.99 </w:t>
            </w:r>
          </w:p>
        </w:tc>
        <w:tc>
          <w:tcPr>
            <w:tcW w:w="1137" w:type="dxa"/>
            <w:tcBorders>
              <w:tl2br w:val="nil"/>
              <w:tr2bl w:val="nil"/>
            </w:tcBorders>
            <w:shd w:val="clear" w:color="auto" w:fill="auto"/>
            <w:noWrap/>
            <w:tcMar>
              <w:top w:w="15" w:type="dxa"/>
              <w:left w:w="15" w:type="dxa"/>
              <w:right w:w="15" w:type="dxa"/>
            </w:tcMar>
            <w:vAlign w:val="center"/>
          </w:tcPr>
          <w:p w14:paraId="49FED8EC">
            <w:pPr>
              <w:pStyle w:val="34"/>
              <w:rPr>
                <w:color w:val="auto"/>
              </w:rPr>
            </w:pPr>
            <w:r>
              <w:rPr>
                <w:color w:val="auto"/>
              </w:rPr>
              <w:t xml:space="preserve">155.00 </w:t>
            </w:r>
          </w:p>
        </w:tc>
        <w:tc>
          <w:tcPr>
            <w:tcW w:w="1320" w:type="dxa"/>
            <w:tcBorders>
              <w:tl2br w:val="nil"/>
              <w:tr2bl w:val="nil"/>
            </w:tcBorders>
            <w:shd w:val="clear" w:color="auto" w:fill="auto"/>
            <w:noWrap/>
            <w:tcMar>
              <w:top w:w="15" w:type="dxa"/>
              <w:left w:w="15" w:type="dxa"/>
              <w:right w:w="15" w:type="dxa"/>
            </w:tcMar>
            <w:vAlign w:val="center"/>
          </w:tcPr>
          <w:p w14:paraId="442B2B08">
            <w:pPr>
              <w:pStyle w:val="34"/>
              <w:rPr>
                <w:color w:val="auto"/>
              </w:rPr>
            </w:pPr>
            <w:r>
              <w:rPr>
                <w:color w:val="auto"/>
              </w:rPr>
              <w:t xml:space="preserve">4.65 </w:t>
            </w:r>
          </w:p>
        </w:tc>
        <w:tc>
          <w:tcPr>
            <w:tcW w:w="1868" w:type="dxa"/>
            <w:tcBorders>
              <w:tl2br w:val="nil"/>
              <w:tr2bl w:val="nil"/>
            </w:tcBorders>
            <w:shd w:val="clear" w:color="auto" w:fill="auto"/>
            <w:noWrap/>
            <w:tcMar>
              <w:top w:w="15" w:type="dxa"/>
              <w:left w:w="15" w:type="dxa"/>
              <w:right w:w="15" w:type="dxa"/>
            </w:tcMar>
            <w:vAlign w:val="center"/>
          </w:tcPr>
          <w:p w14:paraId="26690AAE">
            <w:pPr>
              <w:pStyle w:val="34"/>
              <w:rPr>
                <w:color w:val="auto"/>
              </w:rPr>
            </w:pPr>
            <w:r>
              <w:rPr>
                <w:color w:val="auto"/>
              </w:rPr>
              <w:t xml:space="preserve">4.34 </w:t>
            </w:r>
          </w:p>
        </w:tc>
      </w:tr>
      <w:tr w14:paraId="359281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3" w:hRule="atLeast"/>
          <w:jc w:val="center"/>
        </w:trPr>
        <w:tc>
          <w:tcPr>
            <w:tcW w:w="987" w:type="dxa"/>
            <w:tcBorders>
              <w:tl2br w:val="nil"/>
              <w:tr2bl w:val="nil"/>
            </w:tcBorders>
            <w:shd w:val="clear" w:color="auto" w:fill="auto"/>
            <w:noWrap/>
            <w:tcMar>
              <w:top w:w="15" w:type="dxa"/>
              <w:left w:w="15" w:type="dxa"/>
              <w:right w:w="15" w:type="dxa"/>
            </w:tcMar>
            <w:vAlign w:val="center"/>
          </w:tcPr>
          <w:p w14:paraId="6725EAFE">
            <w:pPr>
              <w:pStyle w:val="34"/>
              <w:rPr>
                <w:color w:val="auto"/>
              </w:rPr>
            </w:pPr>
            <w:r>
              <w:rPr>
                <w:color w:val="auto"/>
              </w:rPr>
              <w:t>5</w:t>
            </w:r>
          </w:p>
        </w:tc>
        <w:tc>
          <w:tcPr>
            <w:tcW w:w="1275" w:type="dxa"/>
            <w:tcBorders>
              <w:tl2br w:val="nil"/>
              <w:tr2bl w:val="nil"/>
            </w:tcBorders>
            <w:shd w:val="clear" w:color="auto" w:fill="auto"/>
            <w:noWrap/>
            <w:tcMar>
              <w:top w:w="15" w:type="dxa"/>
              <w:left w:w="15" w:type="dxa"/>
              <w:right w:w="15" w:type="dxa"/>
            </w:tcMar>
            <w:vAlign w:val="center"/>
          </w:tcPr>
          <w:p w14:paraId="4072F779">
            <w:pPr>
              <w:pStyle w:val="34"/>
              <w:rPr>
                <w:color w:val="auto"/>
              </w:rPr>
            </w:pPr>
            <w:r>
              <w:rPr>
                <w:color w:val="auto"/>
              </w:rPr>
              <w:t>pvc</w:t>
            </w:r>
            <w:r>
              <w:rPr>
                <w:rFonts w:hint="eastAsia"/>
                <w:color w:val="auto"/>
              </w:rPr>
              <w:t>管</w:t>
            </w:r>
          </w:p>
        </w:tc>
        <w:tc>
          <w:tcPr>
            <w:tcW w:w="987" w:type="dxa"/>
            <w:tcBorders>
              <w:tl2br w:val="nil"/>
              <w:tr2bl w:val="nil"/>
            </w:tcBorders>
            <w:shd w:val="clear" w:color="auto" w:fill="auto"/>
            <w:noWrap/>
            <w:tcMar>
              <w:top w:w="15" w:type="dxa"/>
              <w:left w:w="15" w:type="dxa"/>
              <w:right w:w="15" w:type="dxa"/>
            </w:tcMar>
            <w:vAlign w:val="center"/>
          </w:tcPr>
          <w:p w14:paraId="20FD6221">
            <w:pPr>
              <w:pStyle w:val="34"/>
              <w:rPr>
                <w:color w:val="auto"/>
              </w:rPr>
            </w:pPr>
            <w:r>
              <w:rPr>
                <w:color w:val="auto"/>
              </w:rPr>
              <w:t>m</w:t>
            </w:r>
          </w:p>
        </w:tc>
        <w:tc>
          <w:tcPr>
            <w:tcW w:w="1440" w:type="dxa"/>
            <w:tcBorders>
              <w:tl2br w:val="nil"/>
              <w:tr2bl w:val="nil"/>
            </w:tcBorders>
            <w:shd w:val="clear" w:color="auto" w:fill="auto"/>
            <w:noWrap/>
            <w:tcMar>
              <w:top w:w="15" w:type="dxa"/>
              <w:left w:w="15" w:type="dxa"/>
              <w:right w:w="15" w:type="dxa"/>
            </w:tcMar>
            <w:vAlign w:val="center"/>
          </w:tcPr>
          <w:p w14:paraId="6D9F3182">
            <w:pPr>
              <w:pStyle w:val="34"/>
              <w:rPr>
                <w:color w:val="auto"/>
              </w:rPr>
            </w:pPr>
            <w:r>
              <w:rPr>
                <w:color w:val="auto"/>
              </w:rPr>
              <w:t xml:space="preserve">50.78 </w:t>
            </w:r>
          </w:p>
        </w:tc>
        <w:tc>
          <w:tcPr>
            <w:tcW w:w="1137" w:type="dxa"/>
            <w:tcBorders>
              <w:tl2br w:val="nil"/>
              <w:tr2bl w:val="nil"/>
            </w:tcBorders>
            <w:shd w:val="clear" w:color="auto" w:fill="auto"/>
            <w:noWrap/>
            <w:tcMar>
              <w:top w:w="15" w:type="dxa"/>
              <w:left w:w="15" w:type="dxa"/>
              <w:right w:w="15" w:type="dxa"/>
            </w:tcMar>
            <w:vAlign w:val="center"/>
          </w:tcPr>
          <w:p w14:paraId="74CC3332">
            <w:pPr>
              <w:pStyle w:val="34"/>
              <w:rPr>
                <w:color w:val="auto"/>
              </w:rPr>
            </w:pPr>
            <w:r>
              <w:rPr>
                <w:color w:val="auto"/>
              </w:rPr>
              <w:t xml:space="preserve">48.00 </w:t>
            </w:r>
          </w:p>
        </w:tc>
        <w:tc>
          <w:tcPr>
            <w:tcW w:w="1320" w:type="dxa"/>
            <w:tcBorders>
              <w:tl2br w:val="nil"/>
              <w:tr2bl w:val="nil"/>
            </w:tcBorders>
            <w:shd w:val="clear" w:color="auto" w:fill="auto"/>
            <w:noWrap/>
            <w:tcMar>
              <w:top w:w="15" w:type="dxa"/>
              <w:left w:w="15" w:type="dxa"/>
              <w:right w:w="15" w:type="dxa"/>
            </w:tcMar>
            <w:vAlign w:val="center"/>
          </w:tcPr>
          <w:p w14:paraId="1765945F">
            <w:pPr>
              <w:pStyle w:val="34"/>
              <w:rPr>
                <w:color w:val="auto"/>
              </w:rPr>
            </w:pPr>
            <w:r>
              <w:rPr>
                <w:color w:val="auto"/>
              </w:rPr>
              <w:t xml:space="preserve">1.44 </w:t>
            </w:r>
          </w:p>
        </w:tc>
        <w:tc>
          <w:tcPr>
            <w:tcW w:w="1868" w:type="dxa"/>
            <w:tcBorders>
              <w:tl2br w:val="nil"/>
              <w:tr2bl w:val="nil"/>
            </w:tcBorders>
            <w:shd w:val="clear" w:color="auto" w:fill="auto"/>
            <w:noWrap/>
            <w:tcMar>
              <w:top w:w="15" w:type="dxa"/>
              <w:left w:w="15" w:type="dxa"/>
              <w:right w:w="15" w:type="dxa"/>
            </w:tcMar>
            <w:vAlign w:val="center"/>
          </w:tcPr>
          <w:p w14:paraId="39EFE623">
            <w:pPr>
              <w:pStyle w:val="34"/>
              <w:rPr>
                <w:color w:val="auto"/>
              </w:rPr>
            </w:pPr>
            <w:r>
              <w:rPr>
                <w:color w:val="auto"/>
              </w:rPr>
              <w:t xml:space="preserve">1.34 </w:t>
            </w:r>
          </w:p>
        </w:tc>
      </w:tr>
    </w:tbl>
    <w:p w14:paraId="51D74B24">
      <w:pPr>
        <w:keepNext w:val="0"/>
        <w:keepLines w:val="0"/>
        <w:pageBreakBefore w:val="0"/>
        <w:widowControl w:val="0"/>
        <w:numPr>
          <w:ilvl w:val="0"/>
          <w:numId w:val="18"/>
        </w:numPr>
        <w:kinsoku/>
        <w:wordWrap/>
        <w:overflowPunct/>
        <w:topLinePunct w:val="0"/>
        <w:autoSpaceDE/>
        <w:autoSpaceDN/>
        <w:bidi w:val="0"/>
        <w:adjustRightInd/>
        <w:snapToGrid/>
        <w:ind w:left="0" w:leftChars="0" w:firstLine="480" w:firstLineChars="200"/>
        <w:textAlignment w:val="auto"/>
        <w:rPr>
          <w:color w:val="auto"/>
        </w:rPr>
      </w:pPr>
      <w:r>
        <w:rPr>
          <w:color w:val="auto"/>
        </w:rPr>
        <w:t>施工用电、水、风</w:t>
      </w:r>
      <w:r>
        <w:rPr>
          <w:rFonts w:hint="eastAsia"/>
          <w:color w:val="auto"/>
          <w:lang w:eastAsia="zh-CN"/>
        </w:rPr>
        <w:t>预算</w:t>
      </w:r>
      <w:r>
        <w:rPr>
          <w:color w:val="auto"/>
        </w:rPr>
        <w:t>价格</w:t>
      </w:r>
    </w:p>
    <w:p w14:paraId="473B05CC">
      <w:pPr>
        <w:ind w:firstLine="480"/>
        <w:rPr>
          <w:color w:val="auto"/>
          <w:kern w:val="0"/>
          <w:sz w:val="20"/>
        </w:rPr>
      </w:pPr>
      <w:r>
        <w:rPr>
          <w:color w:val="auto"/>
        </w:rPr>
        <w:t>风、水单价根据施工组织设计提供资料计算，电价</w:t>
      </w:r>
      <w:r>
        <w:rPr>
          <w:rFonts w:hint="eastAsia"/>
          <w:color w:val="auto"/>
        </w:rPr>
        <w:t>1.2</w:t>
      </w:r>
      <w:r>
        <w:rPr>
          <w:color w:val="auto"/>
          <w:kern w:val="0"/>
          <w:sz w:val="20"/>
        </w:rPr>
        <w:t>kW·h，</w:t>
      </w:r>
      <w:r>
        <w:rPr>
          <w:color w:val="auto"/>
        </w:rPr>
        <w:t>风价0.12元/</w:t>
      </w:r>
      <w:r>
        <w:rPr>
          <w:rFonts w:hint="eastAsia"/>
          <w:color w:val="auto"/>
        </w:rPr>
        <w:t>m</w:t>
      </w:r>
      <w:r>
        <w:rPr>
          <w:rFonts w:hint="eastAsia"/>
          <w:color w:val="auto"/>
          <w:vertAlign w:val="superscript"/>
        </w:rPr>
        <w:t>3</w:t>
      </w:r>
      <w:r>
        <w:rPr>
          <w:color w:val="auto"/>
        </w:rPr>
        <w:t>，工程用水1.70元/m</w:t>
      </w:r>
      <w:r>
        <w:rPr>
          <w:rFonts w:hint="eastAsia"/>
          <w:color w:val="auto"/>
          <w:vertAlign w:val="superscript"/>
        </w:rPr>
        <w:t>3</w:t>
      </w:r>
      <w:r>
        <w:rPr>
          <w:color w:val="auto"/>
        </w:rPr>
        <w:t>。</w:t>
      </w:r>
    </w:p>
    <w:p w14:paraId="68E0FCE5">
      <w:pPr>
        <w:keepNext w:val="0"/>
        <w:keepLines w:val="0"/>
        <w:pageBreakBefore w:val="0"/>
        <w:widowControl w:val="0"/>
        <w:numPr>
          <w:ilvl w:val="0"/>
          <w:numId w:val="18"/>
        </w:numPr>
        <w:kinsoku/>
        <w:wordWrap/>
        <w:overflowPunct/>
        <w:topLinePunct w:val="0"/>
        <w:autoSpaceDE/>
        <w:autoSpaceDN/>
        <w:bidi w:val="0"/>
        <w:adjustRightInd/>
        <w:snapToGrid/>
        <w:ind w:left="0" w:leftChars="0" w:firstLine="480" w:firstLineChars="200"/>
        <w:textAlignment w:val="auto"/>
        <w:rPr>
          <w:color w:val="auto"/>
        </w:rPr>
      </w:pPr>
      <w:r>
        <w:rPr>
          <w:color w:val="auto"/>
        </w:rPr>
        <w:t>施工机械台班费</w:t>
      </w:r>
    </w:p>
    <w:p w14:paraId="4862E360">
      <w:pPr>
        <w:ind w:firstLine="480"/>
        <w:rPr>
          <w:color w:val="auto"/>
        </w:rPr>
      </w:pPr>
      <w:r>
        <w:rPr>
          <w:color w:val="auto"/>
        </w:rPr>
        <w:t>按水利部《水土保持工程</w:t>
      </w:r>
      <w:r>
        <w:rPr>
          <w:rFonts w:hint="eastAsia"/>
          <w:color w:val="auto"/>
          <w:lang w:eastAsia="zh-CN"/>
        </w:rPr>
        <w:t>估算</w:t>
      </w:r>
      <w:r>
        <w:rPr>
          <w:color w:val="auto"/>
        </w:rPr>
        <w:t>定额》（水总〔2003〕67号文）中《施工机械台时费定额》计列。</w:t>
      </w:r>
    </w:p>
    <w:p w14:paraId="7D4F96C8">
      <w:pPr>
        <w:pStyle w:val="5"/>
        <w:rPr>
          <w:color w:val="auto"/>
        </w:rPr>
      </w:pPr>
      <w:r>
        <w:rPr>
          <w:rFonts w:hint="eastAsia"/>
          <w:color w:val="auto"/>
        </w:rPr>
        <w:t>7.1.2编制说明与</w:t>
      </w:r>
      <w:r>
        <w:rPr>
          <w:rFonts w:hint="eastAsia"/>
          <w:color w:val="auto"/>
          <w:lang w:eastAsia="zh-CN"/>
        </w:rPr>
        <w:t>概算</w:t>
      </w:r>
      <w:r>
        <w:rPr>
          <w:rFonts w:hint="eastAsia"/>
          <w:color w:val="auto"/>
        </w:rPr>
        <w:t>成果</w:t>
      </w:r>
    </w:p>
    <w:p w14:paraId="72342447">
      <w:pPr>
        <w:pStyle w:val="6"/>
        <w:rPr>
          <w:color w:val="auto"/>
        </w:rPr>
      </w:pPr>
      <w:r>
        <w:rPr>
          <w:rFonts w:hint="eastAsia"/>
          <w:color w:val="auto"/>
        </w:rPr>
        <w:t>7.1.2.1</w:t>
      </w:r>
      <w:r>
        <w:rPr>
          <w:color w:val="auto"/>
        </w:rPr>
        <w:t>费用组成</w:t>
      </w:r>
    </w:p>
    <w:p w14:paraId="572DF996">
      <w:pPr>
        <w:numPr>
          <w:ilvl w:val="0"/>
          <w:numId w:val="19"/>
        </w:numPr>
        <w:ind w:firstLineChars="0"/>
        <w:rPr>
          <w:color w:val="auto"/>
        </w:rPr>
      </w:pPr>
      <w:r>
        <w:rPr>
          <w:color w:val="auto"/>
        </w:rPr>
        <w:t>工程措施</w:t>
      </w:r>
    </w:p>
    <w:p w14:paraId="45912161">
      <w:pPr>
        <w:ind w:left="480" w:firstLine="0" w:firstLineChars="0"/>
        <w:rPr>
          <w:color w:val="auto"/>
        </w:rPr>
      </w:pPr>
      <w:r>
        <w:rPr>
          <w:color w:val="auto"/>
        </w:rPr>
        <w:t>工程措施费=工程量×工程单价</w:t>
      </w:r>
    </w:p>
    <w:p w14:paraId="742BA832">
      <w:pPr>
        <w:numPr>
          <w:ilvl w:val="0"/>
          <w:numId w:val="19"/>
        </w:numPr>
        <w:ind w:firstLineChars="0"/>
        <w:rPr>
          <w:color w:val="auto"/>
        </w:rPr>
      </w:pPr>
      <w:r>
        <w:rPr>
          <w:color w:val="auto"/>
        </w:rPr>
        <w:t>临时措施</w:t>
      </w:r>
    </w:p>
    <w:p w14:paraId="4DC012E5">
      <w:pPr>
        <w:ind w:firstLine="480"/>
        <w:rPr>
          <w:color w:val="auto"/>
        </w:rPr>
      </w:pPr>
      <w:r>
        <w:rPr>
          <w:color w:val="auto"/>
        </w:rPr>
        <w:t>临时防护措施费=工程量×工程单价</w:t>
      </w:r>
    </w:p>
    <w:p w14:paraId="74BAAD4A">
      <w:pPr>
        <w:ind w:firstLine="480"/>
        <w:rPr>
          <w:color w:val="auto"/>
        </w:rPr>
      </w:pPr>
      <w:r>
        <w:rPr>
          <w:color w:val="auto"/>
        </w:rPr>
        <w:t>其他临时工程费可按新增工程措施之和的2%进行计算。</w:t>
      </w:r>
    </w:p>
    <w:p w14:paraId="187A5C1A">
      <w:pPr>
        <w:pStyle w:val="6"/>
        <w:rPr>
          <w:color w:val="auto"/>
        </w:rPr>
      </w:pPr>
      <w:r>
        <w:rPr>
          <w:rFonts w:hint="eastAsia"/>
          <w:color w:val="auto"/>
        </w:rPr>
        <w:t>7</w:t>
      </w:r>
      <w:r>
        <w:rPr>
          <w:color w:val="auto"/>
        </w:rPr>
        <w:t>.1.2.2工程单价</w:t>
      </w:r>
    </w:p>
    <w:p w14:paraId="3A1653FF">
      <w:pPr>
        <w:ind w:firstLine="480"/>
        <w:rPr>
          <w:color w:val="auto"/>
        </w:rPr>
      </w:pPr>
      <w:r>
        <w:rPr>
          <w:color w:val="auto"/>
        </w:rPr>
        <w:t>主体工程已有工程单价按主体工程提供计算，主体工程没有的工程单价按照《水土保持工程</w:t>
      </w:r>
      <w:r>
        <w:rPr>
          <w:rFonts w:hint="eastAsia"/>
          <w:color w:val="auto"/>
          <w:lang w:eastAsia="zh-CN"/>
        </w:rPr>
        <w:t>概算</w:t>
      </w:r>
      <w:r>
        <w:rPr>
          <w:color w:val="auto"/>
        </w:rPr>
        <w:t>定额》编制，即工程单价由直接工程费、间接费、利润、税金组成。</w:t>
      </w:r>
    </w:p>
    <w:p w14:paraId="70B8ECB1">
      <w:pPr>
        <w:numPr>
          <w:ilvl w:val="0"/>
          <w:numId w:val="20"/>
        </w:numPr>
        <w:ind w:firstLineChars="0"/>
        <w:rPr>
          <w:color w:val="auto"/>
        </w:rPr>
      </w:pPr>
      <w:r>
        <w:rPr>
          <w:color w:val="auto"/>
        </w:rPr>
        <w:t>直接工程费</w:t>
      </w:r>
    </w:p>
    <w:p w14:paraId="2A5CBF30">
      <w:pPr>
        <w:ind w:firstLine="480"/>
        <w:rPr>
          <w:color w:val="auto"/>
        </w:rPr>
      </w:pPr>
      <w:r>
        <w:rPr>
          <w:color w:val="auto"/>
        </w:rPr>
        <w:t>直接工程费由</w:t>
      </w:r>
      <w:r>
        <w:rPr>
          <w:rFonts w:hint="eastAsia"/>
          <w:color w:val="auto"/>
        </w:rPr>
        <w:t>直接费</w:t>
      </w:r>
      <w:r>
        <w:rPr>
          <w:color w:val="auto"/>
        </w:rPr>
        <w:t>和其他直接费组成。</w:t>
      </w:r>
    </w:p>
    <w:p w14:paraId="10076C2D">
      <w:pPr>
        <w:numPr>
          <w:ilvl w:val="0"/>
          <w:numId w:val="0"/>
        </w:numPr>
        <w:ind w:leftChars="200"/>
        <w:rPr>
          <w:b w:val="0"/>
          <w:bCs w:val="0"/>
          <w:color w:val="auto"/>
        </w:rPr>
      </w:pPr>
      <w:r>
        <w:rPr>
          <w:rFonts w:hint="eastAsia"/>
          <w:b w:val="0"/>
          <w:bCs w:val="0"/>
          <w:color w:val="auto"/>
          <w:lang w:val="en-US" w:eastAsia="zh-CN"/>
        </w:rPr>
        <w:t>1</w:t>
      </w:r>
      <w:r>
        <w:rPr>
          <w:rFonts w:hint="eastAsia"/>
          <w:b w:val="0"/>
          <w:bCs w:val="0"/>
          <w:color w:val="auto"/>
          <w:lang w:eastAsia="zh-CN"/>
        </w:rPr>
        <w:t>）</w:t>
      </w:r>
      <w:r>
        <w:rPr>
          <w:rFonts w:hint="eastAsia"/>
          <w:b w:val="0"/>
          <w:bCs w:val="0"/>
          <w:color w:val="auto"/>
        </w:rPr>
        <w:t>直接费</w:t>
      </w:r>
    </w:p>
    <w:p w14:paraId="11C7D3F1">
      <w:pPr>
        <w:ind w:left="480" w:firstLine="0" w:firstLineChars="0"/>
        <w:rPr>
          <w:color w:val="auto"/>
        </w:rPr>
      </w:pPr>
      <w:r>
        <w:rPr>
          <w:color w:val="auto"/>
        </w:rPr>
        <w:t>包括人工费、材料费和施工机械使用费。</w:t>
      </w:r>
    </w:p>
    <w:p w14:paraId="273B8CB4">
      <w:pPr>
        <w:ind w:left="480" w:firstLine="0" w:firstLineChars="0"/>
        <w:rPr>
          <w:color w:val="auto"/>
        </w:rPr>
      </w:pPr>
      <w:r>
        <w:rPr>
          <w:color w:val="auto"/>
        </w:rPr>
        <w:t>人工费=定额劳动量（工时）×人工</w:t>
      </w:r>
      <w:r>
        <w:rPr>
          <w:rFonts w:hint="eastAsia"/>
          <w:color w:val="auto"/>
          <w:lang w:eastAsia="zh-CN"/>
        </w:rPr>
        <w:t>概算</w:t>
      </w:r>
      <w:r>
        <w:rPr>
          <w:color w:val="auto"/>
        </w:rPr>
        <w:t>单价（元/工时）</w:t>
      </w:r>
    </w:p>
    <w:p w14:paraId="6275928E">
      <w:pPr>
        <w:ind w:left="480" w:firstLine="0" w:firstLineChars="0"/>
        <w:rPr>
          <w:color w:val="auto"/>
        </w:rPr>
      </w:pPr>
      <w:r>
        <w:rPr>
          <w:color w:val="auto"/>
        </w:rPr>
        <w:t>材料费=定额材料用量×材料</w:t>
      </w:r>
      <w:r>
        <w:rPr>
          <w:rFonts w:hint="eastAsia"/>
          <w:color w:val="auto"/>
          <w:lang w:eastAsia="zh-CN"/>
        </w:rPr>
        <w:t>概算</w:t>
      </w:r>
      <w:r>
        <w:rPr>
          <w:color w:val="auto"/>
        </w:rPr>
        <w:t>单价</w:t>
      </w:r>
    </w:p>
    <w:p w14:paraId="22C5CE5B">
      <w:pPr>
        <w:ind w:left="480" w:firstLine="0" w:firstLineChars="0"/>
        <w:rPr>
          <w:color w:val="auto"/>
        </w:rPr>
      </w:pPr>
      <w:r>
        <w:rPr>
          <w:color w:val="auto"/>
        </w:rPr>
        <w:t>机械使用费=定额机械使用量（台时）×施工机械台时费（元/台时）</w:t>
      </w:r>
    </w:p>
    <w:p w14:paraId="0E86E310">
      <w:pPr>
        <w:ind w:left="480" w:firstLine="0" w:firstLineChars="0"/>
        <w:rPr>
          <w:b w:val="0"/>
          <w:bCs w:val="0"/>
        </w:rPr>
      </w:pPr>
      <w:r>
        <w:rPr>
          <w:rFonts w:hint="eastAsia"/>
          <w:b w:val="0"/>
          <w:bCs w:val="0"/>
          <w:lang w:val="en-US" w:eastAsia="zh-CN"/>
        </w:rPr>
        <w:t>2）</w:t>
      </w:r>
      <w:r>
        <w:rPr>
          <w:b w:val="0"/>
          <w:bCs w:val="0"/>
        </w:rPr>
        <w:t>其他直接费</w:t>
      </w:r>
    </w:p>
    <w:p w14:paraId="69D18A81">
      <w:pPr>
        <w:ind w:left="480" w:firstLine="0" w:firstLineChars="0"/>
        <w:rPr>
          <w:color w:val="auto"/>
        </w:rPr>
      </w:pPr>
      <w:r>
        <w:rPr>
          <w:color w:val="auto"/>
        </w:rPr>
        <w:t>其他直接费=</w:t>
      </w:r>
      <w:r>
        <w:rPr>
          <w:rFonts w:hint="eastAsia"/>
          <w:color w:val="auto"/>
        </w:rPr>
        <w:t>直接费</w:t>
      </w:r>
      <w:r>
        <w:rPr>
          <w:color w:val="auto"/>
        </w:rPr>
        <w:t>×其他直接费率</w:t>
      </w:r>
    </w:p>
    <w:p w14:paraId="627F2ACD">
      <w:pPr>
        <w:numPr>
          <w:ilvl w:val="0"/>
          <w:numId w:val="20"/>
        </w:numPr>
        <w:ind w:firstLineChars="0"/>
        <w:rPr>
          <w:color w:val="auto"/>
        </w:rPr>
      </w:pPr>
      <w:r>
        <w:rPr>
          <w:color w:val="auto"/>
        </w:rPr>
        <w:t>间接费</w:t>
      </w:r>
    </w:p>
    <w:p w14:paraId="5BC5D481">
      <w:pPr>
        <w:ind w:left="480" w:firstLine="0" w:firstLineChars="0"/>
        <w:rPr>
          <w:color w:val="auto"/>
        </w:rPr>
      </w:pPr>
      <w:r>
        <w:rPr>
          <w:color w:val="auto"/>
        </w:rPr>
        <w:t>由直接工程费×间接费费率计算</w:t>
      </w:r>
    </w:p>
    <w:p w14:paraId="4D17000C">
      <w:pPr>
        <w:numPr>
          <w:ilvl w:val="0"/>
          <w:numId w:val="20"/>
        </w:numPr>
        <w:ind w:firstLineChars="0"/>
        <w:rPr>
          <w:color w:val="auto"/>
        </w:rPr>
      </w:pPr>
      <w:r>
        <w:rPr>
          <w:color w:val="auto"/>
        </w:rPr>
        <w:t>利润</w:t>
      </w:r>
    </w:p>
    <w:p w14:paraId="6EB5F305">
      <w:pPr>
        <w:ind w:left="480" w:firstLine="0" w:firstLineChars="0"/>
        <w:rPr>
          <w:color w:val="auto"/>
        </w:rPr>
      </w:pPr>
      <w:r>
        <w:rPr>
          <w:color w:val="auto"/>
        </w:rPr>
        <w:t>按（直接工程费+间接费）×利润率计算</w:t>
      </w:r>
    </w:p>
    <w:p w14:paraId="256289F4">
      <w:pPr>
        <w:numPr>
          <w:ilvl w:val="0"/>
          <w:numId w:val="20"/>
        </w:numPr>
        <w:ind w:firstLineChars="0"/>
        <w:rPr>
          <w:color w:val="auto"/>
        </w:rPr>
      </w:pPr>
      <w:r>
        <w:rPr>
          <w:color w:val="auto"/>
        </w:rPr>
        <w:t>税金</w:t>
      </w:r>
    </w:p>
    <w:p w14:paraId="39205C33">
      <w:pPr>
        <w:ind w:left="480" w:firstLine="0" w:firstLineChars="0"/>
        <w:rPr>
          <w:color w:val="auto"/>
        </w:rPr>
      </w:pPr>
      <w:r>
        <w:rPr>
          <w:color w:val="auto"/>
        </w:rPr>
        <w:t>按（直接工程费+间接费+利润）×综合税率计算</w:t>
      </w:r>
    </w:p>
    <w:p w14:paraId="4B6F7BF2">
      <w:pPr>
        <w:numPr>
          <w:ilvl w:val="0"/>
          <w:numId w:val="20"/>
        </w:numPr>
        <w:ind w:firstLineChars="0"/>
        <w:rPr>
          <w:color w:val="auto"/>
        </w:rPr>
      </w:pPr>
      <w:r>
        <w:rPr>
          <w:color w:val="auto"/>
        </w:rPr>
        <w:t>工程措施单价</w:t>
      </w:r>
    </w:p>
    <w:p w14:paraId="308577E7">
      <w:pPr>
        <w:ind w:left="480" w:firstLine="0" w:firstLineChars="0"/>
        <w:rPr>
          <w:color w:val="auto"/>
        </w:rPr>
      </w:pPr>
      <w:r>
        <w:rPr>
          <w:color w:val="auto"/>
        </w:rPr>
        <w:t>工程单价=直接工程费+间接费+利润+税金</w:t>
      </w:r>
    </w:p>
    <w:p w14:paraId="33E9C54F">
      <w:pPr>
        <w:pStyle w:val="83"/>
        <w:spacing w:line="336" w:lineRule="auto"/>
        <w:ind w:firstLine="482" w:firstLineChars="0"/>
        <w:rPr>
          <w:rFonts w:cs="Times New Roman"/>
          <w:color w:val="auto"/>
        </w:rPr>
      </w:pPr>
      <w:r>
        <w:rPr>
          <w:rFonts w:cs="Times New Roman"/>
          <w:color w:val="auto"/>
        </w:rPr>
        <w:t>依据《水土保持工程概（估）算编制规定》（水总[2003]67 号）、《四川省水利水电工程设计概（估）算编制规定》（川水发</w:t>
      </w:r>
      <w:r>
        <w:rPr>
          <w:rFonts w:hint="eastAsia" w:cs="Times New Roman"/>
          <w:color w:val="auto"/>
          <w:lang w:eastAsia="zh-CN"/>
        </w:rPr>
        <w:t>〔</w:t>
      </w:r>
      <w:r>
        <w:rPr>
          <w:rFonts w:cs="Times New Roman"/>
          <w:color w:val="auto"/>
        </w:rPr>
        <w:t>2015</w:t>
      </w:r>
      <w:r>
        <w:rPr>
          <w:rFonts w:hint="eastAsia" w:cs="Times New Roman"/>
          <w:color w:val="auto"/>
          <w:lang w:eastAsia="zh-CN"/>
        </w:rPr>
        <w:t>〕</w:t>
      </w:r>
      <w:r>
        <w:rPr>
          <w:rFonts w:cs="Times New Roman"/>
          <w:color w:val="auto"/>
        </w:rPr>
        <w:t>9号）和</w:t>
      </w:r>
      <w:r>
        <w:rPr>
          <w:rFonts w:hint="eastAsia"/>
          <w:color w:val="auto"/>
        </w:rPr>
        <w:t>四川省水利厅关于印发《增值税税率调整后</w:t>
      </w:r>
      <w:r>
        <w:rPr>
          <w:rFonts w:hint="eastAsia"/>
          <w:color w:val="auto"/>
          <w:lang w:eastAsia="zh-CN"/>
        </w:rPr>
        <w:t>〈</w:t>
      </w:r>
      <w:r>
        <w:rPr>
          <w:rFonts w:hint="eastAsia"/>
          <w:color w:val="auto"/>
        </w:rPr>
        <w:t>四川省水利水电工程设计概（估）算编制规定</w:t>
      </w:r>
      <w:r>
        <w:rPr>
          <w:rFonts w:hint="eastAsia"/>
          <w:color w:val="auto"/>
          <w:lang w:eastAsia="zh-CN"/>
        </w:rPr>
        <w:t>〉</w:t>
      </w:r>
      <w:r>
        <w:rPr>
          <w:rFonts w:hint="eastAsia"/>
          <w:color w:val="auto"/>
        </w:rPr>
        <w:t>相应调整办法》的通知（川水函</w:t>
      </w:r>
      <w:r>
        <w:rPr>
          <w:rFonts w:hint="eastAsia"/>
          <w:color w:val="auto"/>
          <w:lang w:eastAsia="zh-CN"/>
        </w:rPr>
        <w:t>〔</w:t>
      </w:r>
      <w:r>
        <w:rPr>
          <w:rFonts w:hint="eastAsia"/>
          <w:color w:val="auto"/>
        </w:rPr>
        <w:t>2019</w:t>
      </w:r>
      <w:r>
        <w:rPr>
          <w:rFonts w:hint="eastAsia"/>
          <w:color w:val="auto"/>
          <w:lang w:eastAsia="zh-CN"/>
        </w:rPr>
        <w:t>〕</w:t>
      </w:r>
      <w:r>
        <w:rPr>
          <w:rFonts w:hint="eastAsia"/>
          <w:color w:val="auto"/>
        </w:rPr>
        <w:t>610号）</w:t>
      </w:r>
      <w:r>
        <w:rPr>
          <w:rFonts w:cs="Times New Roman"/>
          <w:color w:val="auto"/>
        </w:rPr>
        <w:t>规定确定本项目费率。</w:t>
      </w:r>
    </w:p>
    <w:p w14:paraId="53C0D99F">
      <w:pPr>
        <w:pStyle w:val="79"/>
        <w:rPr>
          <w:color w:val="auto"/>
        </w:rPr>
      </w:pPr>
      <w:r>
        <w:rPr>
          <w:color w:val="auto"/>
        </w:rPr>
        <w:t>表7</w:t>
      </w:r>
      <w:r>
        <w:rPr>
          <w:rFonts w:hint="eastAsia"/>
          <w:color w:val="auto"/>
          <w:lang w:val="en-US" w:eastAsia="zh-CN"/>
        </w:rPr>
        <w:t>.1-2</w:t>
      </w:r>
      <w:r>
        <w:rPr>
          <w:color w:val="auto"/>
        </w:rPr>
        <w:t>工程措施及植物措施费率取值表</w:t>
      </w:r>
    </w:p>
    <w:tbl>
      <w:tblPr>
        <w:tblStyle w:val="25"/>
        <w:tblW w:w="9014"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716"/>
        <w:gridCol w:w="1601"/>
        <w:gridCol w:w="2006"/>
        <w:gridCol w:w="1564"/>
        <w:gridCol w:w="1785"/>
        <w:gridCol w:w="1342"/>
      </w:tblGrid>
      <w:tr w14:paraId="1D7A5AD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716" w:type="dxa"/>
            <w:vAlign w:val="center"/>
          </w:tcPr>
          <w:p w14:paraId="3ED49C18">
            <w:pPr>
              <w:pStyle w:val="81"/>
              <w:rPr>
                <w:color w:val="auto"/>
              </w:rPr>
            </w:pPr>
            <w:r>
              <w:rPr>
                <w:rFonts w:hint="eastAsia"/>
                <w:color w:val="auto"/>
              </w:rPr>
              <w:t>序号</w:t>
            </w:r>
          </w:p>
        </w:tc>
        <w:tc>
          <w:tcPr>
            <w:tcW w:w="1601" w:type="dxa"/>
            <w:vAlign w:val="center"/>
          </w:tcPr>
          <w:p w14:paraId="02DA7B75">
            <w:pPr>
              <w:pStyle w:val="81"/>
              <w:rPr>
                <w:color w:val="auto"/>
              </w:rPr>
            </w:pPr>
            <w:r>
              <w:rPr>
                <w:rFonts w:hint="eastAsia"/>
                <w:color w:val="auto"/>
              </w:rPr>
              <w:t>工程类别</w:t>
            </w:r>
          </w:p>
        </w:tc>
        <w:tc>
          <w:tcPr>
            <w:tcW w:w="2006" w:type="dxa"/>
            <w:vAlign w:val="center"/>
          </w:tcPr>
          <w:p w14:paraId="00B3A435">
            <w:pPr>
              <w:pStyle w:val="81"/>
              <w:rPr>
                <w:color w:val="auto"/>
              </w:rPr>
            </w:pPr>
            <w:r>
              <w:rPr>
                <w:rFonts w:hint="eastAsia"/>
                <w:color w:val="auto"/>
                <w:lang w:eastAsia="zh-CN"/>
              </w:rPr>
              <w:t>其他直接费</w:t>
            </w:r>
            <w:r>
              <w:rPr>
                <w:rFonts w:hint="eastAsia"/>
                <w:color w:val="auto"/>
              </w:rPr>
              <w:t>（</w:t>
            </w:r>
            <w:r>
              <w:rPr>
                <w:color w:val="auto"/>
              </w:rPr>
              <w:t>%</w:t>
            </w:r>
            <w:r>
              <w:rPr>
                <w:rFonts w:hint="eastAsia"/>
                <w:color w:val="auto"/>
              </w:rPr>
              <w:t>）</w:t>
            </w:r>
          </w:p>
        </w:tc>
        <w:tc>
          <w:tcPr>
            <w:tcW w:w="1564" w:type="dxa"/>
            <w:vAlign w:val="center"/>
          </w:tcPr>
          <w:p w14:paraId="1892461E">
            <w:pPr>
              <w:pStyle w:val="81"/>
              <w:rPr>
                <w:color w:val="auto"/>
              </w:rPr>
            </w:pPr>
            <w:r>
              <w:rPr>
                <w:rFonts w:hint="eastAsia"/>
                <w:color w:val="auto"/>
              </w:rPr>
              <w:t>间接费（</w:t>
            </w:r>
            <w:r>
              <w:rPr>
                <w:color w:val="auto"/>
              </w:rPr>
              <w:t>%</w:t>
            </w:r>
            <w:r>
              <w:rPr>
                <w:rFonts w:hint="eastAsia"/>
                <w:color w:val="auto"/>
              </w:rPr>
              <w:t>）</w:t>
            </w:r>
          </w:p>
        </w:tc>
        <w:tc>
          <w:tcPr>
            <w:tcW w:w="1785" w:type="dxa"/>
            <w:vAlign w:val="center"/>
          </w:tcPr>
          <w:p w14:paraId="549C155D">
            <w:pPr>
              <w:pStyle w:val="81"/>
              <w:rPr>
                <w:color w:val="auto"/>
              </w:rPr>
            </w:pPr>
            <w:r>
              <w:rPr>
                <w:rFonts w:hint="eastAsia"/>
                <w:color w:val="auto"/>
              </w:rPr>
              <w:t>企业利润（</w:t>
            </w:r>
            <w:r>
              <w:rPr>
                <w:color w:val="auto"/>
              </w:rPr>
              <w:t>%</w:t>
            </w:r>
            <w:r>
              <w:rPr>
                <w:rFonts w:hint="eastAsia"/>
                <w:color w:val="auto"/>
              </w:rPr>
              <w:t>）</w:t>
            </w:r>
          </w:p>
        </w:tc>
        <w:tc>
          <w:tcPr>
            <w:tcW w:w="1342" w:type="dxa"/>
            <w:vAlign w:val="center"/>
          </w:tcPr>
          <w:p w14:paraId="6625DA66">
            <w:pPr>
              <w:pStyle w:val="81"/>
              <w:rPr>
                <w:color w:val="auto"/>
              </w:rPr>
            </w:pPr>
            <w:r>
              <w:rPr>
                <w:rFonts w:hint="eastAsia"/>
                <w:color w:val="auto"/>
              </w:rPr>
              <w:t>税金（</w:t>
            </w:r>
            <w:r>
              <w:rPr>
                <w:color w:val="auto"/>
              </w:rPr>
              <w:t>%</w:t>
            </w:r>
            <w:r>
              <w:rPr>
                <w:rFonts w:hint="eastAsia"/>
                <w:color w:val="auto"/>
              </w:rPr>
              <w:t>）</w:t>
            </w:r>
          </w:p>
        </w:tc>
      </w:tr>
      <w:tr w14:paraId="119233E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716" w:type="dxa"/>
            <w:vAlign w:val="center"/>
          </w:tcPr>
          <w:p w14:paraId="7200C856">
            <w:pPr>
              <w:pStyle w:val="81"/>
              <w:rPr>
                <w:color w:val="auto"/>
              </w:rPr>
            </w:pPr>
            <w:r>
              <w:rPr>
                <w:rFonts w:hint="eastAsia"/>
                <w:color w:val="auto"/>
              </w:rPr>
              <w:t>一</w:t>
            </w:r>
          </w:p>
        </w:tc>
        <w:tc>
          <w:tcPr>
            <w:tcW w:w="1601" w:type="dxa"/>
            <w:vAlign w:val="center"/>
          </w:tcPr>
          <w:p w14:paraId="4C24801F">
            <w:pPr>
              <w:pStyle w:val="81"/>
              <w:rPr>
                <w:color w:val="auto"/>
              </w:rPr>
            </w:pPr>
            <w:r>
              <w:rPr>
                <w:rFonts w:hint="eastAsia"/>
                <w:color w:val="auto"/>
              </w:rPr>
              <w:t>工程措施</w:t>
            </w:r>
          </w:p>
        </w:tc>
        <w:tc>
          <w:tcPr>
            <w:tcW w:w="2006" w:type="dxa"/>
            <w:vAlign w:val="center"/>
          </w:tcPr>
          <w:p w14:paraId="60D1D05A">
            <w:pPr>
              <w:pStyle w:val="81"/>
              <w:rPr>
                <w:color w:val="auto"/>
              </w:rPr>
            </w:pPr>
          </w:p>
        </w:tc>
        <w:tc>
          <w:tcPr>
            <w:tcW w:w="1564" w:type="dxa"/>
            <w:vAlign w:val="center"/>
          </w:tcPr>
          <w:p w14:paraId="2F1DDCFE">
            <w:pPr>
              <w:pStyle w:val="81"/>
              <w:rPr>
                <w:color w:val="auto"/>
              </w:rPr>
            </w:pPr>
          </w:p>
        </w:tc>
        <w:tc>
          <w:tcPr>
            <w:tcW w:w="1785" w:type="dxa"/>
            <w:vAlign w:val="center"/>
          </w:tcPr>
          <w:p w14:paraId="717309C4">
            <w:pPr>
              <w:pStyle w:val="81"/>
              <w:rPr>
                <w:color w:val="auto"/>
              </w:rPr>
            </w:pPr>
          </w:p>
        </w:tc>
        <w:tc>
          <w:tcPr>
            <w:tcW w:w="1342" w:type="dxa"/>
            <w:vAlign w:val="center"/>
          </w:tcPr>
          <w:p w14:paraId="56F374E3">
            <w:pPr>
              <w:pStyle w:val="81"/>
              <w:rPr>
                <w:color w:val="auto"/>
              </w:rPr>
            </w:pPr>
          </w:p>
        </w:tc>
      </w:tr>
      <w:tr w14:paraId="47A6D7E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716" w:type="dxa"/>
            <w:vAlign w:val="center"/>
          </w:tcPr>
          <w:p w14:paraId="006C303C">
            <w:pPr>
              <w:pStyle w:val="81"/>
              <w:rPr>
                <w:color w:val="auto"/>
              </w:rPr>
            </w:pPr>
            <w:r>
              <w:rPr>
                <w:color w:val="auto"/>
              </w:rPr>
              <w:t>1</w:t>
            </w:r>
          </w:p>
        </w:tc>
        <w:tc>
          <w:tcPr>
            <w:tcW w:w="1601" w:type="dxa"/>
            <w:vAlign w:val="center"/>
          </w:tcPr>
          <w:p w14:paraId="6EA84136">
            <w:pPr>
              <w:pStyle w:val="81"/>
              <w:rPr>
                <w:color w:val="auto"/>
              </w:rPr>
            </w:pPr>
            <w:r>
              <w:rPr>
                <w:rFonts w:hint="eastAsia"/>
                <w:color w:val="auto"/>
              </w:rPr>
              <w:t>土石方工程</w:t>
            </w:r>
          </w:p>
        </w:tc>
        <w:tc>
          <w:tcPr>
            <w:tcW w:w="2006" w:type="dxa"/>
            <w:vAlign w:val="center"/>
          </w:tcPr>
          <w:p w14:paraId="201EE911">
            <w:pPr>
              <w:pStyle w:val="81"/>
              <w:rPr>
                <w:color w:val="auto"/>
              </w:rPr>
            </w:pPr>
            <w:r>
              <w:rPr>
                <w:color w:val="auto"/>
              </w:rPr>
              <w:t>4.20</w:t>
            </w:r>
          </w:p>
        </w:tc>
        <w:tc>
          <w:tcPr>
            <w:tcW w:w="1564" w:type="dxa"/>
            <w:vAlign w:val="center"/>
          </w:tcPr>
          <w:p w14:paraId="42F50B6C">
            <w:pPr>
              <w:pStyle w:val="81"/>
              <w:rPr>
                <w:color w:val="auto"/>
              </w:rPr>
            </w:pPr>
            <w:r>
              <w:rPr>
                <w:color w:val="auto"/>
              </w:rPr>
              <w:t>4.40</w:t>
            </w:r>
          </w:p>
        </w:tc>
        <w:tc>
          <w:tcPr>
            <w:tcW w:w="1785" w:type="dxa"/>
            <w:vAlign w:val="center"/>
          </w:tcPr>
          <w:p w14:paraId="162836EF">
            <w:pPr>
              <w:pStyle w:val="81"/>
              <w:rPr>
                <w:color w:val="auto"/>
              </w:rPr>
            </w:pPr>
            <w:r>
              <w:rPr>
                <w:color w:val="auto"/>
              </w:rPr>
              <w:t>7.00</w:t>
            </w:r>
          </w:p>
        </w:tc>
        <w:tc>
          <w:tcPr>
            <w:tcW w:w="1342" w:type="dxa"/>
            <w:vAlign w:val="center"/>
          </w:tcPr>
          <w:p w14:paraId="2490C9E5">
            <w:pPr>
              <w:pStyle w:val="81"/>
              <w:rPr>
                <w:color w:val="auto"/>
              </w:rPr>
            </w:pPr>
            <w:r>
              <w:rPr>
                <w:rFonts w:hint="eastAsia"/>
                <w:color w:val="auto"/>
              </w:rPr>
              <w:t>9</w:t>
            </w:r>
            <w:r>
              <w:rPr>
                <w:color w:val="auto"/>
              </w:rPr>
              <w:t>.00</w:t>
            </w:r>
          </w:p>
        </w:tc>
      </w:tr>
      <w:tr w14:paraId="1485A56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716" w:type="dxa"/>
            <w:vAlign w:val="center"/>
          </w:tcPr>
          <w:p w14:paraId="047CC3C1">
            <w:pPr>
              <w:pStyle w:val="81"/>
              <w:rPr>
                <w:color w:val="auto"/>
              </w:rPr>
            </w:pPr>
            <w:r>
              <w:rPr>
                <w:color w:val="auto"/>
              </w:rPr>
              <w:t>2</w:t>
            </w:r>
          </w:p>
        </w:tc>
        <w:tc>
          <w:tcPr>
            <w:tcW w:w="1601" w:type="dxa"/>
            <w:vAlign w:val="center"/>
          </w:tcPr>
          <w:p w14:paraId="58FBE6A1">
            <w:pPr>
              <w:pStyle w:val="81"/>
              <w:rPr>
                <w:color w:val="auto"/>
              </w:rPr>
            </w:pPr>
            <w:r>
              <w:rPr>
                <w:rFonts w:hint="eastAsia"/>
                <w:color w:val="auto"/>
              </w:rPr>
              <w:t>混凝土工程</w:t>
            </w:r>
          </w:p>
        </w:tc>
        <w:tc>
          <w:tcPr>
            <w:tcW w:w="2006" w:type="dxa"/>
            <w:vAlign w:val="center"/>
          </w:tcPr>
          <w:p w14:paraId="6A4CAEEE">
            <w:pPr>
              <w:pStyle w:val="81"/>
              <w:rPr>
                <w:color w:val="auto"/>
              </w:rPr>
            </w:pPr>
            <w:r>
              <w:rPr>
                <w:color w:val="auto"/>
              </w:rPr>
              <w:t>4.20</w:t>
            </w:r>
          </w:p>
        </w:tc>
        <w:tc>
          <w:tcPr>
            <w:tcW w:w="1564" w:type="dxa"/>
            <w:vAlign w:val="center"/>
          </w:tcPr>
          <w:p w14:paraId="0FE696DB">
            <w:pPr>
              <w:pStyle w:val="81"/>
              <w:rPr>
                <w:color w:val="auto"/>
              </w:rPr>
            </w:pPr>
            <w:r>
              <w:rPr>
                <w:color w:val="auto"/>
              </w:rPr>
              <w:t>4.30</w:t>
            </w:r>
          </w:p>
        </w:tc>
        <w:tc>
          <w:tcPr>
            <w:tcW w:w="1785" w:type="dxa"/>
            <w:vAlign w:val="center"/>
          </w:tcPr>
          <w:p w14:paraId="68E05610">
            <w:pPr>
              <w:pStyle w:val="81"/>
              <w:rPr>
                <w:color w:val="auto"/>
              </w:rPr>
            </w:pPr>
            <w:r>
              <w:rPr>
                <w:color w:val="auto"/>
              </w:rPr>
              <w:t>7.00</w:t>
            </w:r>
          </w:p>
        </w:tc>
        <w:tc>
          <w:tcPr>
            <w:tcW w:w="1342" w:type="dxa"/>
            <w:vAlign w:val="center"/>
          </w:tcPr>
          <w:p w14:paraId="668B8FAC">
            <w:pPr>
              <w:pStyle w:val="81"/>
              <w:rPr>
                <w:color w:val="auto"/>
              </w:rPr>
            </w:pPr>
            <w:r>
              <w:rPr>
                <w:rFonts w:hint="eastAsia"/>
                <w:color w:val="auto"/>
              </w:rPr>
              <w:t>9</w:t>
            </w:r>
            <w:r>
              <w:rPr>
                <w:color w:val="auto"/>
              </w:rPr>
              <w:t>.00</w:t>
            </w:r>
          </w:p>
        </w:tc>
      </w:tr>
      <w:tr w14:paraId="17EDDCE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716" w:type="dxa"/>
            <w:vAlign w:val="center"/>
          </w:tcPr>
          <w:p w14:paraId="57FD6D7D">
            <w:pPr>
              <w:pStyle w:val="81"/>
              <w:rPr>
                <w:color w:val="auto"/>
              </w:rPr>
            </w:pPr>
            <w:r>
              <w:rPr>
                <w:color w:val="auto"/>
              </w:rPr>
              <w:t>3</w:t>
            </w:r>
          </w:p>
        </w:tc>
        <w:tc>
          <w:tcPr>
            <w:tcW w:w="1601" w:type="dxa"/>
            <w:vAlign w:val="center"/>
          </w:tcPr>
          <w:p w14:paraId="53A04CBB">
            <w:pPr>
              <w:pStyle w:val="81"/>
              <w:rPr>
                <w:color w:val="auto"/>
              </w:rPr>
            </w:pPr>
            <w:r>
              <w:rPr>
                <w:rFonts w:hint="eastAsia"/>
                <w:color w:val="auto"/>
              </w:rPr>
              <w:t>机械固沙工程</w:t>
            </w:r>
          </w:p>
        </w:tc>
        <w:tc>
          <w:tcPr>
            <w:tcW w:w="2006" w:type="dxa"/>
            <w:vAlign w:val="center"/>
          </w:tcPr>
          <w:p w14:paraId="05C00CD0">
            <w:pPr>
              <w:pStyle w:val="81"/>
              <w:rPr>
                <w:color w:val="auto"/>
              </w:rPr>
            </w:pPr>
            <w:r>
              <w:rPr>
                <w:color w:val="auto"/>
              </w:rPr>
              <w:t>4.20</w:t>
            </w:r>
          </w:p>
        </w:tc>
        <w:tc>
          <w:tcPr>
            <w:tcW w:w="1564" w:type="dxa"/>
            <w:vAlign w:val="center"/>
          </w:tcPr>
          <w:p w14:paraId="3DE157B6">
            <w:pPr>
              <w:pStyle w:val="81"/>
              <w:rPr>
                <w:color w:val="auto"/>
              </w:rPr>
            </w:pPr>
            <w:r>
              <w:rPr>
                <w:color w:val="auto"/>
              </w:rPr>
              <w:t>6.50</w:t>
            </w:r>
          </w:p>
        </w:tc>
        <w:tc>
          <w:tcPr>
            <w:tcW w:w="1785" w:type="dxa"/>
            <w:vAlign w:val="center"/>
          </w:tcPr>
          <w:p w14:paraId="2FDE638E">
            <w:pPr>
              <w:pStyle w:val="81"/>
              <w:rPr>
                <w:color w:val="auto"/>
              </w:rPr>
            </w:pPr>
            <w:r>
              <w:rPr>
                <w:color w:val="auto"/>
              </w:rPr>
              <w:t>7.00</w:t>
            </w:r>
          </w:p>
        </w:tc>
        <w:tc>
          <w:tcPr>
            <w:tcW w:w="1342" w:type="dxa"/>
            <w:vAlign w:val="center"/>
          </w:tcPr>
          <w:p w14:paraId="29EC32AB">
            <w:pPr>
              <w:pStyle w:val="81"/>
              <w:rPr>
                <w:color w:val="auto"/>
              </w:rPr>
            </w:pPr>
            <w:r>
              <w:rPr>
                <w:rFonts w:hint="eastAsia"/>
                <w:color w:val="auto"/>
              </w:rPr>
              <w:t>9</w:t>
            </w:r>
            <w:r>
              <w:rPr>
                <w:color w:val="auto"/>
              </w:rPr>
              <w:t>.00</w:t>
            </w:r>
          </w:p>
        </w:tc>
      </w:tr>
      <w:tr w14:paraId="2011B61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283" w:hRule="atLeast"/>
          <w:jc w:val="center"/>
        </w:trPr>
        <w:tc>
          <w:tcPr>
            <w:tcW w:w="716" w:type="dxa"/>
            <w:vAlign w:val="center"/>
          </w:tcPr>
          <w:p w14:paraId="7D7B37FC">
            <w:pPr>
              <w:pStyle w:val="81"/>
              <w:rPr>
                <w:color w:val="auto"/>
              </w:rPr>
            </w:pPr>
            <w:r>
              <w:rPr>
                <w:color w:val="auto"/>
              </w:rPr>
              <w:t>4</w:t>
            </w:r>
          </w:p>
        </w:tc>
        <w:tc>
          <w:tcPr>
            <w:tcW w:w="1601" w:type="dxa"/>
            <w:vAlign w:val="center"/>
          </w:tcPr>
          <w:p w14:paraId="1F58DCE8">
            <w:pPr>
              <w:pStyle w:val="81"/>
              <w:rPr>
                <w:color w:val="auto"/>
              </w:rPr>
            </w:pPr>
            <w:r>
              <w:rPr>
                <w:rFonts w:hint="eastAsia"/>
                <w:color w:val="auto"/>
              </w:rPr>
              <w:t>其他工程</w:t>
            </w:r>
          </w:p>
        </w:tc>
        <w:tc>
          <w:tcPr>
            <w:tcW w:w="2006" w:type="dxa"/>
            <w:vAlign w:val="center"/>
          </w:tcPr>
          <w:p w14:paraId="22D43CFC">
            <w:pPr>
              <w:pStyle w:val="81"/>
              <w:rPr>
                <w:color w:val="auto"/>
              </w:rPr>
            </w:pPr>
            <w:r>
              <w:rPr>
                <w:color w:val="auto"/>
              </w:rPr>
              <w:t>4.20</w:t>
            </w:r>
          </w:p>
        </w:tc>
        <w:tc>
          <w:tcPr>
            <w:tcW w:w="1564" w:type="dxa"/>
            <w:vAlign w:val="center"/>
          </w:tcPr>
          <w:p w14:paraId="6C1E1656">
            <w:pPr>
              <w:pStyle w:val="81"/>
              <w:rPr>
                <w:color w:val="auto"/>
              </w:rPr>
            </w:pPr>
            <w:r>
              <w:rPr>
                <w:color w:val="auto"/>
              </w:rPr>
              <w:t>4.40</w:t>
            </w:r>
          </w:p>
        </w:tc>
        <w:tc>
          <w:tcPr>
            <w:tcW w:w="1785" w:type="dxa"/>
            <w:vAlign w:val="center"/>
          </w:tcPr>
          <w:p w14:paraId="412C4334">
            <w:pPr>
              <w:pStyle w:val="81"/>
              <w:rPr>
                <w:color w:val="auto"/>
              </w:rPr>
            </w:pPr>
            <w:r>
              <w:rPr>
                <w:color w:val="auto"/>
              </w:rPr>
              <w:t>7.00</w:t>
            </w:r>
          </w:p>
        </w:tc>
        <w:tc>
          <w:tcPr>
            <w:tcW w:w="1342" w:type="dxa"/>
            <w:vAlign w:val="center"/>
          </w:tcPr>
          <w:p w14:paraId="4B5C5909">
            <w:pPr>
              <w:pStyle w:val="81"/>
              <w:rPr>
                <w:color w:val="auto"/>
              </w:rPr>
            </w:pPr>
            <w:r>
              <w:rPr>
                <w:rFonts w:hint="eastAsia"/>
                <w:color w:val="auto"/>
              </w:rPr>
              <w:t>9</w:t>
            </w:r>
            <w:r>
              <w:rPr>
                <w:color w:val="auto"/>
              </w:rPr>
              <w:t>.00</w:t>
            </w:r>
          </w:p>
        </w:tc>
      </w:tr>
    </w:tbl>
    <w:p w14:paraId="7D40DF4F">
      <w:pPr>
        <w:pStyle w:val="6"/>
        <w:rPr>
          <w:color w:val="auto"/>
        </w:rPr>
      </w:pPr>
      <w:r>
        <w:rPr>
          <w:rFonts w:hint="eastAsia"/>
          <w:color w:val="auto"/>
        </w:rPr>
        <w:t>7</w:t>
      </w:r>
      <w:r>
        <w:rPr>
          <w:color w:val="auto"/>
        </w:rPr>
        <w:t>.1.2.</w:t>
      </w:r>
      <w:r>
        <w:rPr>
          <w:rFonts w:hint="eastAsia"/>
          <w:color w:val="auto"/>
          <w:lang w:val="en-US" w:eastAsia="zh-CN"/>
        </w:rPr>
        <w:t>3</w:t>
      </w:r>
      <w:r>
        <w:rPr>
          <w:color w:val="auto"/>
        </w:rPr>
        <w:t>独立费用</w:t>
      </w:r>
    </w:p>
    <w:p w14:paraId="3700885B">
      <w:pPr>
        <w:keepNext w:val="0"/>
        <w:keepLines w:val="0"/>
        <w:pageBreakBefore w:val="0"/>
        <w:widowControl w:val="0"/>
        <w:numPr>
          <w:ilvl w:val="0"/>
          <w:numId w:val="21"/>
        </w:numPr>
        <w:kinsoku/>
        <w:wordWrap/>
        <w:overflowPunct/>
        <w:topLinePunct w:val="0"/>
        <w:autoSpaceDE/>
        <w:autoSpaceDN/>
        <w:bidi w:val="0"/>
        <w:adjustRightInd/>
        <w:snapToGrid/>
        <w:ind w:left="0" w:leftChars="0" w:firstLine="480" w:firstLineChars="200"/>
        <w:textAlignment w:val="auto"/>
        <w:rPr>
          <w:color w:val="auto"/>
        </w:rPr>
      </w:pPr>
      <w:r>
        <w:rPr>
          <w:color w:val="auto"/>
        </w:rPr>
        <w:t>建设管理费</w:t>
      </w:r>
    </w:p>
    <w:p w14:paraId="24BE6513">
      <w:pPr>
        <w:ind w:firstLine="570" w:firstLineChars="0"/>
        <w:rPr>
          <w:rFonts w:eastAsia="仿宋_GB2312"/>
          <w:color w:val="auto"/>
        </w:rPr>
      </w:pPr>
      <w:r>
        <w:rPr>
          <w:rFonts w:hint="eastAsia" w:ascii="Times New Roman" w:hAnsi="Times New Roman" w:cs="Times New Roman"/>
          <w:color w:val="auto"/>
          <w:lang w:val="en-US" w:eastAsia="zh-CN"/>
        </w:rPr>
        <w:t>按新增工程措施、施工临时工程费用之和的2.0%计列</w:t>
      </w:r>
    </w:p>
    <w:p w14:paraId="060652EE">
      <w:pPr>
        <w:keepNext w:val="0"/>
        <w:keepLines w:val="0"/>
        <w:pageBreakBefore w:val="0"/>
        <w:widowControl w:val="0"/>
        <w:numPr>
          <w:ilvl w:val="0"/>
          <w:numId w:val="21"/>
        </w:numPr>
        <w:kinsoku/>
        <w:wordWrap/>
        <w:overflowPunct/>
        <w:topLinePunct w:val="0"/>
        <w:autoSpaceDE/>
        <w:autoSpaceDN/>
        <w:bidi w:val="0"/>
        <w:adjustRightInd/>
        <w:snapToGrid/>
        <w:ind w:left="0" w:leftChars="0" w:firstLine="480" w:firstLineChars="200"/>
        <w:textAlignment w:val="auto"/>
        <w:rPr>
          <w:color w:val="auto"/>
        </w:rPr>
      </w:pPr>
      <w:r>
        <w:rPr>
          <w:color w:val="auto"/>
        </w:rPr>
        <w:t>科研勘测设计费</w:t>
      </w:r>
    </w:p>
    <w:p w14:paraId="6296BBFD">
      <w:pPr>
        <w:numPr>
          <w:ilvl w:val="0"/>
          <w:numId w:val="22"/>
        </w:numPr>
        <w:ind w:left="0" w:firstLine="480"/>
        <w:rPr>
          <w:color w:val="auto"/>
        </w:rPr>
      </w:pPr>
      <w:r>
        <w:rPr>
          <w:color w:val="auto"/>
        </w:rPr>
        <w:t>工程科学研究试验费：本工程不计列；</w:t>
      </w:r>
    </w:p>
    <w:p w14:paraId="1A59466C">
      <w:pPr>
        <w:numPr>
          <w:ilvl w:val="0"/>
          <w:numId w:val="22"/>
        </w:numPr>
        <w:ind w:left="0" w:firstLine="480"/>
        <w:rPr>
          <w:color w:val="auto"/>
        </w:rPr>
      </w:pPr>
      <w:r>
        <w:rPr>
          <w:color w:val="auto"/>
        </w:rPr>
        <w:t>勘测设计费参照《四川省水利水电工程设计概（估）算编制规定》中附录三、附录四、附录五工程勘测设计费参考计算标准；</w:t>
      </w:r>
    </w:p>
    <w:p w14:paraId="0BB3677F">
      <w:pPr>
        <w:numPr>
          <w:ilvl w:val="0"/>
          <w:numId w:val="22"/>
        </w:numPr>
        <w:ind w:left="0" w:firstLine="480"/>
        <w:rPr>
          <w:color w:val="auto"/>
        </w:rPr>
      </w:pPr>
      <w:r>
        <w:rPr>
          <w:color w:val="auto"/>
        </w:rPr>
        <w:t>方案编制费根据《关于进一步放开建设项目专业服务价格的通知》（发改价格〔2015〕299号）的相关规定，并根据项目的规模大小和水土保持实际情况计列。</w:t>
      </w:r>
    </w:p>
    <w:p w14:paraId="2A27DA6E">
      <w:pPr>
        <w:keepNext w:val="0"/>
        <w:keepLines w:val="0"/>
        <w:pageBreakBefore w:val="0"/>
        <w:widowControl w:val="0"/>
        <w:numPr>
          <w:ilvl w:val="0"/>
          <w:numId w:val="21"/>
        </w:numPr>
        <w:kinsoku/>
        <w:wordWrap/>
        <w:overflowPunct/>
        <w:topLinePunct w:val="0"/>
        <w:autoSpaceDE/>
        <w:autoSpaceDN/>
        <w:bidi w:val="0"/>
        <w:adjustRightInd/>
        <w:snapToGrid/>
        <w:ind w:left="0" w:leftChars="0" w:firstLine="456" w:firstLineChars="200"/>
        <w:textAlignment w:val="auto"/>
        <w:rPr>
          <w:color w:val="auto"/>
        </w:rPr>
      </w:pPr>
      <w:r>
        <w:rPr>
          <w:color w:val="auto"/>
          <w:spacing w:val="-6"/>
        </w:rPr>
        <w:t>水土保持监理费</w:t>
      </w:r>
    </w:p>
    <w:p w14:paraId="75A6D9A0">
      <w:pPr>
        <w:ind w:firstLine="456"/>
        <w:rPr>
          <w:color w:val="auto"/>
          <w:spacing w:val="-6"/>
        </w:rPr>
      </w:pPr>
      <w:r>
        <w:rPr>
          <w:rFonts w:hint="eastAsia"/>
          <w:color w:val="auto"/>
          <w:spacing w:val="-6"/>
          <w:lang w:val="en-US" w:eastAsia="zh-CN"/>
        </w:rPr>
        <w:t>由主体监理单位承担，收费</w:t>
      </w:r>
      <w:r>
        <w:rPr>
          <w:color w:val="auto"/>
          <w:spacing w:val="-6"/>
        </w:rPr>
        <w:t>参照《建设工程监理与相关服务收费标准》计算</w:t>
      </w:r>
      <w:r>
        <w:rPr>
          <w:rFonts w:hint="eastAsia"/>
          <w:color w:val="auto"/>
          <w:spacing w:val="-6"/>
          <w:lang w:eastAsia="zh-CN"/>
        </w:rPr>
        <w:t>，</w:t>
      </w:r>
      <w:r>
        <w:rPr>
          <w:rFonts w:hint="eastAsia"/>
          <w:color w:val="auto"/>
          <w:spacing w:val="-6"/>
          <w:lang w:val="en-US" w:eastAsia="zh-CN"/>
        </w:rPr>
        <w:t>本方案不计列</w:t>
      </w:r>
      <w:r>
        <w:rPr>
          <w:color w:val="auto"/>
          <w:spacing w:val="-6"/>
        </w:rPr>
        <w:t>。</w:t>
      </w:r>
    </w:p>
    <w:p w14:paraId="056EBD2F">
      <w:pPr>
        <w:keepNext w:val="0"/>
        <w:keepLines w:val="0"/>
        <w:pageBreakBefore w:val="0"/>
        <w:widowControl w:val="0"/>
        <w:numPr>
          <w:ilvl w:val="0"/>
          <w:numId w:val="21"/>
        </w:numPr>
        <w:kinsoku/>
        <w:wordWrap/>
        <w:overflowPunct/>
        <w:topLinePunct w:val="0"/>
        <w:autoSpaceDE/>
        <w:autoSpaceDN/>
        <w:bidi w:val="0"/>
        <w:adjustRightInd/>
        <w:snapToGrid/>
        <w:ind w:left="0" w:leftChars="0" w:firstLine="480" w:firstLineChars="200"/>
        <w:textAlignment w:val="auto"/>
        <w:rPr>
          <w:rFonts w:hint="eastAsia"/>
          <w:color w:val="auto"/>
          <w:lang w:eastAsia="zh-CN"/>
        </w:rPr>
      </w:pPr>
      <w:r>
        <w:rPr>
          <w:rFonts w:hint="eastAsia"/>
          <w:color w:val="auto"/>
          <w:lang w:val="en-US" w:eastAsia="zh-CN"/>
        </w:rPr>
        <w:t>水</w:t>
      </w:r>
      <w:r>
        <w:rPr>
          <w:rFonts w:hint="eastAsia"/>
          <w:color w:val="auto"/>
          <w:lang w:eastAsia="zh-CN"/>
        </w:rPr>
        <w:t>土保持监测费</w:t>
      </w:r>
    </w:p>
    <w:p w14:paraId="3BB45512">
      <w:pPr>
        <w:bidi w:val="0"/>
        <w:rPr>
          <w:rFonts w:hint="eastAsia"/>
          <w:color w:val="auto"/>
          <w:lang w:eastAsia="zh-CN"/>
        </w:rPr>
      </w:pPr>
      <w:r>
        <w:rPr>
          <w:rFonts w:hint="eastAsia"/>
          <w:color w:val="auto"/>
          <w:lang w:eastAsia="zh-CN"/>
        </w:rPr>
        <w:t>本项目属承诺制项目，由项目建设单位进行监测并收集好相关资料，作为记录，因此不计水土保持监测费。</w:t>
      </w:r>
    </w:p>
    <w:p w14:paraId="0EEE54D4">
      <w:pPr>
        <w:keepNext w:val="0"/>
        <w:keepLines w:val="0"/>
        <w:pageBreakBefore w:val="0"/>
        <w:widowControl w:val="0"/>
        <w:numPr>
          <w:ilvl w:val="0"/>
          <w:numId w:val="21"/>
        </w:numPr>
        <w:kinsoku/>
        <w:wordWrap/>
        <w:overflowPunct/>
        <w:topLinePunct w:val="0"/>
        <w:autoSpaceDE/>
        <w:autoSpaceDN/>
        <w:bidi w:val="0"/>
        <w:adjustRightInd/>
        <w:snapToGrid/>
        <w:ind w:left="0" w:leftChars="0" w:firstLine="480" w:firstLineChars="200"/>
        <w:textAlignment w:val="auto"/>
        <w:rPr>
          <w:color w:val="auto"/>
        </w:rPr>
      </w:pPr>
      <w:r>
        <w:rPr>
          <w:rFonts w:hint="eastAsia"/>
          <w:color w:val="auto"/>
          <w:lang w:eastAsia="zh-CN"/>
        </w:rPr>
        <w:t>水土保持设施验收</w:t>
      </w:r>
      <w:r>
        <w:rPr>
          <w:rFonts w:hint="eastAsia"/>
          <w:color w:val="auto"/>
          <w:lang w:val="en-US" w:eastAsia="zh-CN"/>
        </w:rPr>
        <w:t>技术服务</w:t>
      </w:r>
      <w:r>
        <w:rPr>
          <w:rFonts w:hint="eastAsia"/>
          <w:color w:val="auto"/>
          <w:lang w:eastAsia="zh-CN"/>
        </w:rPr>
        <w:t>费</w:t>
      </w:r>
    </w:p>
    <w:p w14:paraId="36F59F42">
      <w:pPr>
        <w:ind w:firstLine="480"/>
        <w:rPr>
          <w:color w:val="auto"/>
        </w:rPr>
      </w:pPr>
      <w:r>
        <w:rPr>
          <w:color w:val="auto"/>
        </w:rPr>
        <w:t>根据《关于进一步放开建设项目专业服务价格的通知》（发改价格〔2015〕299号）的相关规定，并根据项目的规模大小和水土保持实际情况计列。</w:t>
      </w:r>
    </w:p>
    <w:p w14:paraId="50BFA27E">
      <w:pPr>
        <w:keepNext w:val="0"/>
        <w:keepLines w:val="0"/>
        <w:pageBreakBefore w:val="0"/>
        <w:widowControl w:val="0"/>
        <w:numPr>
          <w:ilvl w:val="0"/>
          <w:numId w:val="21"/>
        </w:numPr>
        <w:kinsoku/>
        <w:wordWrap/>
        <w:overflowPunct/>
        <w:topLinePunct w:val="0"/>
        <w:autoSpaceDE/>
        <w:autoSpaceDN/>
        <w:bidi w:val="0"/>
        <w:adjustRightInd/>
        <w:snapToGrid/>
        <w:ind w:left="0" w:leftChars="0" w:firstLine="480" w:firstLineChars="200"/>
        <w:textAlignment w:val="auto"/>
        <w:rPr>
          <w:color w:val="auto"/>
        </w:rPr>
      </w:pPr>
      <w:r>
        <w:rPr>
          <w:color w:val="auto"/>
        </w:rPr>
        <w:t>招标代理服务费</w:t>
      </w:r>
    </w:p>
    <w:p w14:paraId="563E218B">
      <w:pPr>
        <w:ind w:left="480" w:firstLine="0" w:firstLineChars="0"/>
        <w:rPr>
          <w:color w:val="auto"/>
        </w:rPr>
      </w:pPr>
      <w:r>
        <w:rPr>
          <w:rFonts w:hint="eastAsia"/>
          <w:color w:val="auto"/>
          <w:lang w:eastAsia="zh-CN"/>
        </w:rPr>
        <w:t>已计入主体工程，本方案不单独计列</w:t>
      </w:r>
      <w:r>
        <w:rPr>
          <w:color w:val="auto"/>
        </w:rPr>
        <w:t>。</w:t>
      </w:r>
    </w:p>
    <w:p w14:paraId="44F4ED8F">
      <w:pPr>
        <w:keepNext w:val="0"/>
        <w:keepLines w:val="0"/>
        <w:pageBreakBefore w:val="0"/>
        <w:widowControl w:val="0"/>
        <w:numPr>
          <w:ilvl w:val="0"/>
          <w:numId w:val="21"/>
        </w:numPr>
        <w:kinsoku/>
        <w:wordWrap/>
        <w:overflowPunct/>
        <w:topLinePunct w:val="0"/>
        <w:autoSpaceDE/>
        <w:autoSpaceDN/>
        <w:bidi w:val="0"/>
        <w:adjustRightInd/>
        <w:snapToGrid/>
        <w:ind w:left="0" w:leftChars="0" w:firstLine="480" w:firstLineChars="200"/>
        <w:textAlignment w:val="auto"/>
        <w:rPr>
          <w:color w:val="auto"/>
        </w:rPr>
      </w:pPr>
      <w:r>
        <w:rPr>
          <w:color w:val="auto"/>
        </w:rPr>
        <w:t>经济技术咨询费</w:t>
      </w:r>
    </w:p>
    <w:p w14:paraId="202EFD6F">
      <w:pPr>
        <w:ind w:firstLine="480"/>
        <w:rPr>
          <w:color w:val="auto"/>
        </w:rPr>
      </w:pPr>
      <w:r>
        <w:rPr>
          <w:rFonts w:hint="eastAsia"/>
          <w:color w:val="auto"/>
          <w:lang w:eastAsia="zh-CN"/>
        </w:rPr>
        <w:t>已计入主体工程，本方案不单独计列</w:t>
      </w:r>
      <w:r>
        <w:rPr>
          <w:color w:val="auto"/>
        </w:rPr>
        <w:t>。</w:t>
      </w:r>
    </w:p>
    <w:p w14:paraId="446B448A">
      <w:pPr>
        <w:pStyle w:val="6"/>
        <w:rPr>
          <w:color w:val="auto"/>
        </w:rPr>
      </w:pPr>
      <w:r>
        <w:rPr>
          <w:rFonts w:hint="eastAsia"/>
          <w:color w:val="auto"/>
        </w:rPr>
        <w:t>7</w:t>
      </w:r>
      <w:r>
        <w:rPr>
          <w:color w:val="auto"/>
        </w:rPr>
        <w:t>.1.2.</w:t>
      </w:r>
      <w:r>
        <w:rPr>
          <w:rFonts w:hint="eastAsia"/>
          <w:color w:val="auto"/>
          <w:lang w:val="en-US" w:eastAsia="zh-CN"/>
        </w:rPr>
        <w:t>4</w:t>
      </w:r>
      <w:r>
        <w:rPr>
          <w:color w:val="auto"/>
        </w:rPr>
        <w:t>预备费</w:t>
      </w:r>
    </w:p>
    <w:p w14:paraId="30207691">
      <w:pPr>
        <w:numPr>
          <w:ilvl w:val="0"/>
          <w:numId w:val="23"/>
        </w:numPr>
        <w:ind w:firstLineChars="0"/>
        <w:rPr>
          <w:color w:val="auto"/>
        </w:rPr>
      </w:pPr>
      <w:r>
        <w:rPr>
          <w:color w:val="auto"/>
        </w:rPr>
        <w:t>基本预备费</w:t>
      </w:r>
    </w:p>
    <w:p w14:paraId="32C8CACF">
      <w:pPr>
        <w:ind w:firstLine="480"/>
        <w:rPr>
          <w:color w:val="auto"/>
        </w:rPr>
      </w:pPr>
      <w:r>
        <w:rPr>
          <w:color w:val="auto"/>
        </w:rPr>
        <w:t>基本预备费按一~</w:t>
      </w:r>
      <w:r>
        <w:rPr>
          <w:rFonts w:hint="eastAsia"/>
          <w:color w:val="auto"/>
          <w:lang w:val="en-US" w:eastAsia="zh-CN"/>
        </w:rPr>
        <w:t>四</w:t>
      </w:r>
      <w:r>
        <w:rPr>
          <w:color w:val="auto"/>
        </w:rPr>
        <w:t>部分水保新增费用的</w:t>
      </w:r>
      <w:r>
        <w:rPr>
          <w:rFonts w:hint="eastAsia"/>
          <w:color w:val="auto"/>
          <w:lang w:val="en-US" w:eastAsia="zh-CN"/>
        </w:rPr>
        <w:t>5</w:t>
      </w:r>
      <w:r>
        <w:rPr>
          <w:color w:val="auto"/>
        </w:rPr>
        <w:t>%~</w:t>
      </w:r>
      <w:r>
        <w:rPr>
          <w:rFonts w:hint="eastAsia"/>
          <w:color w:val="auto"/>
          <w:lang w:val="en-US" w:eastAsia="zh-CN"/>
        </w:rPr>
        <w:t>8</w:t>
      </w:r>
      <w:r>
        <w:rPr>
          <w:color w:val="auto"/>
        </w:rPr>
        <w:t>%计取，本工程按照</w:t>
      </w:r>
      <w:r>
        <w:rPr>
          <w:rFonts w:hint="eastAsia"/>
          <w:color w:val="auto"/>
          <w:lang w:val="en-US" w:eastAsia="zh-CN"/>
        </w:rPr>
        <w:t>8</w:t>
      </w:r>
      <w:r>
        <w:rPr>
          <w:color w:val="auto"/>
        </w:rPr>
        <w:t>%计算。</w:t>
      </w:r>
    </w:p>
    <w:p w14:paraId="3D54EF29">
      <w:pPr>
        <w:numPr>
          <w:ilvl w:val="0"/>
          <w:numId w:val="23"/>
        </w:numPr>
        <w:ind w:firstLineChars="0"/>
        <w:rPr>
          <w:color w:val="auto"/>
        </w:rPr>
      </w:pPr>
      <w:r>
        <w:rPr>
          <w:color w:val="auto"/>
        </w:rPr>
        <w:t>价差预备费</w:t>
      </w:r>
    </w:p>
    <w:p w14:paraId="72BFAFC1">
      <w:pPr>
        <w:ind w:firstLine="480"/>
        <w:rPr>
          <w:color w:val="auto"/>
        </w:rPr>
      </w:pPr>
      <w:r>
        <w:rPr>
          <w:color w:val="auto"/>
        </w:rPr>
        <w:t>本工程价差预备费暂不计列。</w:t>
      </w:r>
    </w:p>
    <w:p w14:paraId="5C7BCD39">
      <w:pPr>
        <w:pStyle w:val="6"/>
        <w:bidi w:val="0"/>
        <w:rPr>
          <w:color w:val="auto"/>
        </w:rPr>
      </w:pPr>
      <w:r>
        <w:rPr>
          <w:rFonts w:hint="eastAsia"/>
          <w:color w:val="auto"/>
        </w:rPr>
        <w:t>7</w:t>
      </w:r>
      <w:r>
        <w:rPr>
          <w:color w:val="auto"/>
        </w:rPr>
        <w:t>.1.2.</w:t>
      </w:r>
      <w:r>
        <w:rPr>
          <w:rFonts w:hint="eastAsia"/>
          <w:color w:val="auto"/>
          <w:lang w:val="en-US" w:eastAsia="zh-CN"/>
        </w:rPr>
        <w:t>5</w:t>
      </w:r>
      <w:r>
        <w:rPr>
          <w:color w:val="auto"/>
        </w:rPr>
        <w:t>水土保持补偿费</w:t>
      </w:r>
    </w:p>
    <w:p w14:paraId="761520EA">
      <w:pPr>
        <w:rPr>
          <w:bCs/>
          <w:color w:val="auto"/>
          <w:highlight w:val="none"/>
          <w:shd w:val="clear" w:color="auto" w:fill="FFFFFF"/>
        </w:rPr>
      </w:pPr>
      <w:r>
        <w:rPr>
          <w:bCs/>
          <w:color w:val="auto"/>
          <w:highlight w:val="none"/>
          <w:shd w:val="clear" w:color="auto" w:fill="FFFFFF"/>
        </w:rPr>
        <w:t>按四川省发展和改革委员会、四川省财政厅关于印发</w:t>
      </w:r>
      <w:r>
        <w:rPr>
          <w:color w:val="auto"/>
          <w:highlight w:val="none"/>
        </w:rPr>
        <w:t>《四川省发展和改革委员会、四川省财政厅关于制定水土保持补偿费标准的通知》（川发改价格[2017]347号）的有关规定，水土保持补偿费按项目征占地面积每1.30元/ m²计算。</w:t>
      </w:r>
    </w:p>
    <w:p w14:paraId="11EDDD87">
      <w:pPr>
        <w:bidi w:val="0"/>
        <w:rPr>
          <w:rFonts w:hint="eastAsia"/>
          <w:color w:val="auto"/>
          <w:highlight w:val="none"/>
          <w:lang w:val="en-US" w:eastAsia="zh-CN"/>
        </w:rPr>
      </w:pPr>
      <w:bookmarkStart w:id="168" w:name="_Toc418004974"/>
      <w:bookmarkStart w:id="169" w:name="_Toc416298724"/>
      <w:r>
        <w:rPr>
          <w:rFonts w:hint="eastAsia"/>
          <w:color w:val="auto"/>
          <w:highlight w:val="none"/>
          <w:lang w:val="en-US" w:eastAsia="zh-CN"/>
        </w:rPr>
        <w:t>本项目占地36623.86m</w:t>
      </w:r>
      <w:r>
        <w:rPr>
          <w:rFonts w:hint="eastAsia"/>
          <w:color w:val="auto"/>
          <w:highlight w:val="none"/>
          <w:vertAlign w:val="superscript"/>
          <w:lang w:val="en-US" w:eastAsia="zh-CN"/>
        </w:rPr>
        <w:t>2</w:t>
      </w:r>
      <w:r>
        <w:rPr>
          <w:rFonts w:hint="eastAsia"/>
          <w:color w:val="auto"/>
          <w:highlight w:val="none"/>
          <w:lang w:val="en-US" w:eastAsia="zh-CN"/>
        </w:rPr>
        <w:t>，应缴纳水土保持补偿费36623.86m</w:t>
      </w:r>
      <w:r>
        <w:rPr>
          <w:rFonts w:hint="eastAsia"/>
          <w:color w:val="auto"/>
          <w:highlight w:val="none"/>
          <w:vertAlign w:val="superscript"/>
          <w:lang w:val="en-US" w:eastAsia="zh-CN"/>
        </w:rPr>
        <w:t>2</w:t>
      </w:r>
      <w:r>
        <w:rPr>
          <w:rFonts w:hint="eastAsia"/>
          <w:color w:val="auto"/>
          <w:highlight w:val="none"/>
          <w:lang w:val="en-US" w:eastAsia="zh-CN"/>
        </w:rPr>
        <w:t>×1.3元/m</w:t>
      </w:r>
      <w:r>
        <w:rPr>
          <w:rFonts w:hint="eastAsia"/>
          <w:color w:val="auto"/>
          <w:highlight w:val="none"/>
          <w:vertAlign w:val="superscript"/>
          <w:lang w:val="en-US" w:eastAsia="zh-CN"/>
        </w:rPr>
        <w:t>2</w:t>
      </w:r>
      <w:r>
        <w:rPr>
          <w:rFonts w:hint="eastAsia"/>
          <w:color w:val="auto"/>
          <w:highlight w:val="none"/>
          <w:lang w:val="en-US" w:eastAsia="zh-CN"/>
        </w:rPr>
        <w:t>=4.761万元（47611.02元）。</w:t>
      </w:r>
    </w:p>
    <w:p w14:paraId="16770C86">
      <w:pPr>
        <w:pStyle w:val="6"/>
        <w:bidi w:val="0"/>
        <w:rPr>
          <w:color w:val="auto"/>
        </w:rPr>
      </w:pPr>
      <w:r>
        <w:rPr>
          <w:rFonts w:hint="eastAsia"/>
          <w:color w:val="auto"/>
        </w:rPr>
        <w:t>7</w:t>
      </w:r>
      <w:r>
        <w:rPr>
          <w:color w:val="auto"/>
        </w:rPr>
        <w:t>.1.2.</w:t>
      </w:r>
      <w:bookmarkEnd w:id="168"/>
      <w:bookmarkEnd w:id="169"/>
      <w:r>
        <w:rPr>
          <w:rFonts w:hint="eastAsia"/>
          <w:color w:val="auto"/>
          <w:lang w:val="en-US" w:eastAsia="zh-CN"/>
        </w:rPr>
        <w:t>6</w:t>
      </w:r>
      <w:r>
        <w:rPr>
          <w:color w:val="auto"/>
        </w:rPr>
        <w:t>水土保持投资</w:t>
      </w:r>
      <w:r>
        <w:rPr>
          <w:rFonts w:hint="eastAsia" w:hAnsi="宋体"/>
          <w:color w:val="auto"/>
          <w:lang w:eastAsia="zh-CN"/>
        </w:rPr>
        <w:t>概算</w:t>
      </w:r>
      <w:r>
        <w:rPr>
          <w:color w:val="auto"/>
        </w:rPr>
        <w:t>表</w:t>
      </w:r>
    </w:p>
    <w:p w14:paraId="77460175">
      <w:pPr>
        <w:ind w:firstLine="570" w:firstLineChars="0"/>
        <w:rPr>
          <w:rFonts w:eastAsia="仿宋_GB2312"/>
          <w:color w:val="auto"/>
        </w:rPr>
      </w:pPr>
      <w:r>
        <w:rPr>
          <w:rFonts w:hint="eastAsia" w:ascii="Times New Roman" w:hAnsi="Times New Roman" w:cs="Times New Roman"/>
          <w:color w:val="auto"/>
          <w:lang w:val="en-US" w:eastAsia="zh-CN"/>
        </w:rPr>
        <w:t>经投资概算分析，本工程水土保持总投资为</w:t>
      </w:r>
      <w:r>
        <w:rPr>
          <w:rFonts w:hint="eastAsia" w:cs="Times New Roman"/>
          <w:color w:val="auto"/>
          <w:lang w:val="en-US" w:eastAsia="zh-CN"/>
        </w:rPr>
        <w:t>98.46</w:t>
      </w:r>
      <w:r>
        <w:rPr>
          <w:rFonts w:hint="eastAsia" w:ascii="Times New Roman" w:hAnsi="Times New Roman" w:cs="Times New Roman"/>
          <w:color w:val="auto"/>
          <w:lang w:val="en-US" w:eastAsia="zh-CN"/>
        </w:rPr>
        <w:t>万元，其中主体已列</w:t>
      </w:r>
      <w:r>
        <w:rPr>
          <w:rFonts w:hint="eastAsia" w:cs="Times New Roman"/>
          <w:color w:val="auto"/>
          <w:lang w:val="en-US" w:eastAsia="zh-CN"/>
        </w:rPr>
        <w:t>52.07</w:t>
      </w:r>
      <w:r>
        <w:rPr>
          <w:rFonts w:hint="eastAsia" w:ascii="Times New Roman" w:hAnsi="Times New Roman" w:cs="Times New Roman"/>
          <w:color w:val="auto"/>
          <w:lang w:val="en-US" w:eastAsia="zh-CN"/>
        </w:rPr>
        <w:t>万元，水保新增投资</w:t>
      </w:r>
      <w:r>
        <w:rPr>
          <w:rFonts w:hint="eastAsia" w:cs="Times New Roman"/>
          <w:color w:val="auto"/>
          <w:lang w:val="en-US" w:eastAsia="zh-CN"/>
        </w:rPr>
        <w:t>46.39</w:t>
      </w:r>
      <w:r>
        <w:rPr>
          <w:rFonts w:hint="eastAsia" w:ascii="Times New Roman" w:hAnsi="Times New Roman" w:cs="Times New Roman"/>
          <w:color w:val="auto"/>
          <w:lang w:val="en-US" w:eastAsia="zh-CN"/>
        </w:rPr>
        <w:t>万元。水土保持总投资中，工程措施费</w:t>
      </w:r>
      <w:r>
        <w:rPr>
          <w:rFonts w:hint="eastAsia" w:cs="Times New Roman"/>
          <w:color w:val="auto"/>
          <w:lang w:val="en-US" w:eastAsia="zh-CN"/>
        </w:rPr>
        <w:t>46.39</w:t>
      </w:r>
      <w:r>
        <w:rPr>
          <w:rFonts w:hint="eastAsia" w:ascii="Times New Roman" w:hAnsi="Times New Roman" w:cs="Times New Roman"/>
          <w:color w:val="auto"/>
          <w:lang w:val="en-US" w:eastAsia="zh-CN"/>
        </w:rPr>
        <w:t>万元，植物措施费</w:t>
      </w:r>
      <w:r>
        <w:rPr>
          <w:rFonts w:hint="eastAsia" w:cs="Times New Roman"/>
          <w:color w:val="auto"/>
          <w:lang w:val="en-US" w:eastAsia="zh-CN"/>
        </w:rPr>
        <w:t>0</w:t>
      </w:r>
      <w:r>
        <w:rPr>
          <w:rFonts w:hint="eastAsia" w:ascii="Times New Roman" w:hAnsi="Times New Roman" w:cs="Times New Roman"/>
          <w:color w:val="auto"/>
          <w:lang w:val="en-US" w:eastAsia="zh-CN"/>
        </w:rPr>
        <w:t>万元，临时措施费用</w:t>
      </w:r>
      <w:r>
        <w:rPr>
          <w:rFonts w:hint="eastAsia" w:cs="Times New Roman"/>
          <w:color w:val="auto"/>
          <w:lang w:val="en-US" w:eastAsia="zh-CN"/>
        </w:rPr>
        <w:t>39.03</w:t>
      </w:r>
      <w:r>
        <w:rPr>
          <w:rFonts w:hint="eastAsia" w:ascii="Times New Roman" w:hAnsi="Times New Roman" w:cs="Times New Roman"/>
          <w:color w:val="auto"/>
          <w:lang w:val="en-US" w:eastAsia="zh-CN"/>
        </w:rPr>
        <w:t>万元，独立费用</w:t>
      </w:r>
      <w:r>
        <w:rPr>
          <w:rFonts w:hint="eastAsia" w:cs="Times New Roman"/>
          <w:color w:val="auto"/>
          <w:lang w:val="en-US" w:eastAsia="zh-CN"/>
        </w:rPr>
        <w:t>4.78</w:t>
      </w:r>
      <w:r>
        <w:rPr>
          <w:rFonts w:hint="eastAsia" w:ascii="Times New Roman" w:hAnsi="Times New Roman" w:cs="Times New Roman"/>
          <w:color w:val="auto"/>
          <w:lang w:val="en-US" w:eastAsia="zh-CN"/>
        </w:rPr>
        <w:t>万元</w:t>
      </w:r>
      <w:r>
        <w:rPr>
          <w:rFonts w:hint="eastAsia"/>
          <w:color w:val="auto"/>
          <w:lang w:eastAsia="zh-CN"/>
        </w:rPr>
        <w:t>，</w:t>
      </w:r>
      <w:r>
        <w:rPr>
          <w:rFonts w:eastAsia="仿宋_GB2312"/>
          <w:color w:val="auto"/>
        </w:rPr>
        <w:t>基本预备费</w:t>
      </w:r>
      <w:r>
        <w:rPr>
          <w:rFonts w:hint="eastAsia"/>
          <w:color w:val="auto"/>
          <w:lang w:val="en-US" w:eastAsia="zh-CN"/>
        </w:rPr>
        <w:t>3.50</w:t>
      </w:r>
      <w:r>
        <w:rPr>
          <w:rFonts w:eastAsia="仿宋_GB2312"/>
          <w:color w:val="auto"/>
        </w:rPr>
        <w:t>万元，水土保持补偿费</w:t>
      </w:r>
      <w:r>
        <w:rPr>
          <w:rFonts w:hint="eastAsia"/>
          <w:color w:val="auto"/>
          <w:lang w:val="en-US" w:eastAsia="zh-CN"/>
        </w:rPr>
        <w:t>4.761</w:t>
      </w:r>
      <w:r>
        <w:rPr>
          <w:rFonts w:eastAsia="仿宋_GB2312"/>
          <w:color w:val="auto"/>
        </w:rPr>
        <w:t>万元</w:t>
      </w:r>
      <w:r>
        <w:rPr>
          <w:rFonts w:hint="eastAsia"/>
          <w:color w:val="auto"/>
          <w:lang w:eastAsia="zh-CN"/>
        </w:rPr>
        <w:t>（</w:t>
      </w:r>
      <w:r>
        <w:rPr>
          <w:rFonts w:hint="eastAsia" w:cs="Times New Roman"/>
          <w:color w:val="auto"/>
          <w:lang w:val="en-US" w:eastAsia="zh-CN"/>
        </w:rPr>
        <w:t>47611.02</w:t>
      </w:r>
      <w:r>
        <w:rPr>
          <w:rFonts w:hint="eastAsia" w:ascii="Times New Roman" w:hAnsi="Times New Roman" w:cs="Times New Roman"/>
          <w:color w:val="auto"/>
          <w:lang w:val="en-US" w:eastAsia="zh-CN"/>
        </w:rPr>
        <w:t>元</w:t>
      </w:r>
      <w:r>
        <w:rPr>
          <w:rFonts w:hint="eastAsia" w:ascii="Times New Roman" w:hAnsi="Times New Roman" w:cs="Times New Roman"/>
          <w:color w:val="auto"/>
          <w:kern w:val="0"/>
          <w:lang w:val="en-US" w:eastAsia="zh-CN"/>
        </w:rPr>
        <w:t>）</w:t>
      </w:r>
      <w:r>
        <w:rPr>
          <w:rFonts w:hint="eastAsia" w:cs="Times New Roman"/>
          <w:color w:val="auto"/>
          <w:kern w:val="0"/>
          <w:lang w:val="en-US" w:eastAsia="zh-CN"/>
        </w:rPr>
        <w:t>。</w:t>
      </w:r>
      <w:r>
        <w:rPr>
          <w:rFonts w:eastAsia="仿宋_GB2312"/>
          <w:color w:val="auto"/>
        </w:rPr>
        <w:t>具体</w:t>
      </w:r>
      <w:r>
        <w:rPr>
          <w:rFonts w:hint="eastAsia" w:eastAsia="仿宋_GB2312"/>
          <w:color w:val="auto"/>
          <w:lang w:val="en-US" w:eastAsia="zh-CN"/>
        </w:rPr>
        <w:t>估</w:t>
      </w:r>
      <w:r>
        <w:rPr>
          <w:rFonts w:eastAsia="仿宋_GB2312"/>
          <w:color w:val="auto"/>
        </w:rPr>
        <w:t>算表格见表7.1-3~表7.1-8。</w:t>
      </w:r>
    </w:p>
    <w:p w14:paraId="409E6133">
      <w:pPr>
        <w:pStyle w:val="35"/>
        <w:bidi w:val="0"/>
        <w:rPr>
          <w:color w:val="0000FF"/>
        </w:rPr>
      </w:pPr>
      <w:bookmarkStart w:id="170" w:name="_Toc418004976"/>
      <w:bookmarkStart w:id="171" w:name="_Toc11723"/>
      <w:bookmarkStart w:id="172" w:name="_Toc416298726"/>
      <w:bookmarkStart w:id="173" w:name="_Toc15924"/>
    </w:p>
    <w:p w14:paraId="21EA06D8">
      <w:pPr>
        <w:pStyle w:val="35"/>
        <w:bidi w:val="0"/>
        <w:rPr>
          <w:color w:val="0000FF"/>
        </w:rPr>
      </w:pPr>
    </w:p>
    <w:p w14:paraId="616E0713">
      <w:pPr>
        <w:pStyle w:val="35"/>
        <w:bidi w:val="0"/>
      </w:pPr>
      <w:r>
        <w:t>表7.1-3工程总</w:t>
      </w:r>
      <w:r>
        <w:rPr>
          <w:rFonts w:hint="eastAsia"/>
          <w:lang w:val="en-US" w:eastAsia="zh-CN"/>
        </w:rPr>
        <w:t>概</w:t>
      </w:r>
      <w:r>
        <w:t>算表（单位：万元）</w:t>
      </w:r>
    </w:p>
    <w:tbl>
      <w:tblPr>
        <w:tblStyle w:val="25"/>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292"/>
        <w:gridCol w:w="1267"/>
        <w:gridCol w:w="1293"/>
        <w:gridCol w:w="966"/>
        <w:gridCol w:w="1116"/>
        <w:gridCol w:w="927"/>
        <w:gridCol w:w="1518"/>
        <w:gridCol w:w="903"/>
      </w:tblGrid>
      <w:tr w14:paraId="34789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696" w:type="pct"/>
            <w:vMerge w:val="restart"/>
            <w:shd w:val="clear" w:color="auto" w:fill="auto"/>
            <w:vAlign w:val="center"/>
          </w:tcPr>
          <w:p w14:paraId="4D1376D4">
            <w:pPr>
              <w:pStyle w:val="34"/>
              <w:bidi w:val="0"/>
              <w:rPr>
                <w:highlight w:val="none"/>
              </w:rPr>
            </w:pPr>
            <w:r>
              <w:rPr>
                <w:rFonts w:hint="eastAsia"/>
                <w:highlight w:val="none"/>
                <w:lang w:val="en-US" w:eastAsia="zh-CN"/>
              </w:rPr>
              <w:t>序号</w:t>
            </w:r>
          </w:p>
        </w:tc>
        <w:tc>
          <w:tcPr>
            <w:tcW w:w="682" w:type="pct"/>
            <w:vMerge w:val="restart"/>
            <w:shd w:val="clear" w:color="auto" w:fill="auto"/>
            <w:vAlign w:val="center"/>
          </w:tcPr>
          <w:p w14:paraId="6DCE0C4F">
            <w:pPr>
              <w:pStyle w:val="34"/>
              <w:bidi w:val="0"/>
              <w:rPr>
                <w:rFonts w:hint="eastAsia"/>
                <w:highlight w:val="none"/>
              </w:rPr>
            </w:pPr>
            <w:r>
              <w:rPr>
                <w:rFonts w:hint="eastAsia"/>
                <w:highlight w:val="none"/>
                <w:lang w:val="en-US" w:eastAsia="zh-CN"/>
              </w:rPr>
              <w:t>工程或费用名称</w:t>
            </w:r>
          </w:p>
        </w:tc>
        <w:tc>
          <w:tcPr>
            <w:tcW w:w="696" w:type="pct"/>
            <w:vMerge w:val="restart"/>
            <w:shd w:val="clear" w:color="auto" w:fill="auto"/>
            <w:vAlign w:val="center"/>
          </w:tcPr>
          <w:p w14:paraId="33B8E91A">
            <w:pPr>
              <w:pStyle w:val="34"/>
              <w:bidi w:val="0"/>
              <w:rPr>
                <w:rFonts w:hint="eastAsia"/>
                <w:highlight w:val="none"/>
              </w:rPr>
            </w:pPr>
            <w:r>
              <w:rPr>
                <w:rFonts w:hint="eastAsia"/>
                <w:highlight w:val="none"/>
                <w:lang w:val="en-US" w:eastAsia="zh-CN"/>
              </w:rPr>
              <w:t>建安工程费</w:t>
            </w:r>
          </w:p>
        </w:tc>
        <w:tc>
          <w:tcPr>
            <w:tcW w:w="520" w:type="pct"/>
            <w:vMerge w:val="restart"/>
            <w:shd w:val="clear" w:color="auto" w:fill="auto"/>
            <w:vAlign w:val="center"/>
          </w:tcPr>
          <w:p w14:paraId="764878F8">
            <w:pPr>
              <w:pStyle w:val="34"/>
              <w:bidi w:val="0"/>
              <w:rPr>
                <w:rFonts w:hint="eastAsia"/>
                <w:highlight w:val="none"/>
              </w:rPr>
            </w:pPr>
            <w:r>
              <w:rPr>
                <w:rFonts w:hint="eastAsia"/>
                <w:highlight w:val="none"/>
                <w:lang w:val="en-US" w:eastAsia="zh-CN"/>
              </w:rPr>
              <w:t>植物措施费</w:t>
            </w:r>
          </w:p>
        </w:tc>
        <w:tc>
          <w:tcPr>
            <w:tcW w:w="601" w:type="pct"/>
            <w:vMerge w:val="restart"/>
            <w:shd w:val="clear" w:color="auto" w:fill="auto"/>
            <w:vAlign w:val="center"/>
          </w:tcPr>
          <w:p w14:paraId="41C261BD">
            <w:pPr>
              <w:pStyle w:val="34"/>
              <w:bidi w:val="0"/>
              <w:rPr>
                <w:rFonts w:hint="eastAsia"/>
                <w:highlight w:val="none"/>
              </w:rPr>
            </w:pPr>
            <w:r>
              <w:rPr>
                <w:rFonts w:hint="eastAsia"/>
                <w:highlight w:val="none"/>
                <w:lang w:val="en-US" w:eastAsia="zh-CN"/>
              </w:rPr>
              <w:t>独立费用</w:t>
            </w:r>
          </w:p>
        </w:tc>
        <w:tc>
          <w:tcPr>
            <w:tcW w:w="499" w:type="pct"/>
            <w:vMerge w:val="restart"/>
            <w:shd w:val="clear" w:color="auto" w:fill="auto"/>
            <w:vAlign w:val="center"/>
          </w:tcPr>
          <w:p w14:paraId="3CEF7805">
            <w:pPr>
              <w:pStyle w:val="34"/>
              <w:bidi w:val="0"/>
              <w:rPr>
                <w:rFonts w:hint="eastAsia"/>
                <w:highlight w:val="none"/>
              </w:rPr>
            </w:pPr>
            <w:r>
              <w:rPr>
                <w:rFonts w:hint="eastAsia"/>
                <w:highlight w:val="none"/>
                <w:lang w:val="en-US" w:eastAsia="zh-CN"/>
              </w:rPr>
              <w:t>新增水保专项投资</w:t>
            </w:r>
          </w:p>
        </w:tc>
        <w:tc>
          <w:tcPr>
            <w:tcW w:w="817" w:type="pct"/>
            <w:vMerge w:val="restart"/>
            <w:shd w:val="clear" w:color="auto" w:fill="auto"/>
            <w:vAlign w:val="center"/>
          </w:tcPr>
          <w:p w14:paraId="04BB8781">
            <w:pPr>
              <w:pStyle w:val="34"/>
              <w:bidi w:val="0"/>
              <w:rPr>
                <w:rFonts w:hint="eastAsia"/>
                <w:highlight w:val="none"/>
              </w:rPr>
            </w:pPr>
            <w:r>
              <w:rPr>
                <w:rFonts w:hint="eastAsia"/>
                <w:highlight w:val="none"/>
                <w:lang w:val="en-US" w:eastAsia="zh-CN"/>
              </w:rPr>
              <w:t>主体工程已计水保措施投资</w:t>
            </w:r>
          </w:p>
        </w:tc>
        <w:tc>
          <w:tcPr>
            <w:tcW w:w="486" w:type="pct"/>
            <w:vMerge w:val="restart"/>
            <w:shd w:val="clear" w:color="auto" w:fill="auto"/>
            <w:vAlign w:val="center"/>
          </w:tcPr>
          <w:p w14:paraId="1C013AB1">
            <w:pPr>
              <w:pStyle w:val="34"/>
              <w:bidi w:val="0"/>
              <w:rPr>
                <w:rFonts w:hint="eastAsia"/>
                <w:highlight w:val="none"/>
              </w:rPr>
            </w:pPr>
            <w:r>
              <w:rPr>
                <w:rFonts w:hint="eastAsia"/>
                <w:highlight w:val="none"/>
                <w:lang w:val="en-US" w:eastAsia="zh-CN"/>
              </w:rPr>
              <w:t>合计</w:t>
            </w:r>
          </w:p>
        </w:tc>
      </w:tr>
      <w:tr w14:paraId="142F7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696" w:type="pct"/>
            <w:vMerge w:val="continue"/>
            <w:shd w:val="clear" w:color="auto" w:fill="auto"/>
            <w:vAlign w:val="center"/>
          </w:tcPr>
          <w:p w14:paraId="0D89A402">
            <w:pPr>
              <w:pStyle w:val="34"/>
              <w:bidi w:val="0"/>
              <w:rPr>
                <w:rFonts w:hint="eastAsia"/>
                <w:highlight w:val="none"/>
              </w:rPr>
            </w:pPr>
          </w:p>
        </w:tc>
        <w:tc>
          <w:tcPr>
            <w:tcW w:w="682" w:type="pct"/>
            <w:vMerge w:val="continue"/>
            <w:shd w:val="clear" w:color="auto" w:fill="auto"/>
            <w:vAlign w:val="center"/>
          </w:tcPr>
          <w:p w14:paraId="4E47D104">
            <w:pPr>
              <w:pStyle w:val="34"/>
              <w:bidi w:val="0"/>
              <w:rPr>
                <w:rFonts w:hint="eastAsia"/>
                <w:highlight w:val="none"/>
              </w:rPr>
            </w:pPr>
          </w:p>
        </w:tc>
        <w:tc>
          <w:tcPr>
            <w:tcW w:w="696" w:type="pct"/>
            <w:vMerge w:val="continue"/>
            <w:shd w:val="clear" w:color="auto" w:fill="auto"/>
            <w:vAlign w:val="center"/>
          </w:tcPr>
          <w:p w14:paraId="674B6695">
            <w:pPr>
              <w:pStyle w:val="34"/>
              <w:bidi w:val="0"/>
              <w:rPr>
                <w:rFonts w:hint="eastAsia"/>
                <w:highlight w:val="none"/>
              </w:rPr>
            </w:pPr>
          </w:p>
        </w:tc>
        <w:tc>
          <w:tcPr>
            <w:tcW w:w="520" w:type="pct"/>
            <w:vMerge w:val="continue"/>
            <w:shd w:val="clear" w:color="auto" w:fill="auto"/>
            <w:vAlign w:val="center"/>
          </w:tcPr>
          <w:p w14:paraId="09ADF82A">
            <w:pPr>
              <w:pStyle w:val="34"/>
              <w:bidi w:val="0"/>
              <w:rPr>
                <w:rFonts w:hint="eastAsia"/>
                <w:highlight w:val="none"/>
              </w:rPr>
            </w:pPr>
          </w:p>
        </w:tc>
        <w:tc>
          <w:tcPr>
            <w:tcW w:w="601" w:type="pct"/>
            <w:vMerge w:val="continue"/>
            <w:shd w:val="clear" w:color="auto" w:fill="auto"/>
            <w:vAlign w:val="center"/>
          </w:tcPr>
          <w:p w14:paraId="554B13A0">
            <w:pPr>
              <w:pStyle w:val="34"/>
              <w:bidi w:val="0"/>
              <w:rPr>
                <w:rFonts w:hint="eastAsia"/>
                <w:highlight w:val="none"/>
              </w:rPr>
            </w:pPr>
          </w:p>
        </w:tc>
        <w:tc>
          <w:tcPr>
            <w:tcW w:w="499" w:type="pct"/>
            <w:vMerge w:val="continue"/>
            <w:shd w:val="clear" w:color="auto" w:fill="auto"/>
            <w:vAlign w:val="center"/>
          </w:tcPr>
          <w:p w14:paraId="224FE785">
            <w:pPr>
              <w:pStyle w:val="34"/>
              <w:bidi w:val="0"/>
              <w:rPr>
                <w:rFonts w:hint="eastAsia"/>
                <w:highlight w:val="none"/>
              </w:rPr>
            </w:pPr>
          </w:p>
        </w:tc>
        <w:tc>
          <w:tcPr>
            <w:tcW w:w="817" w:type="pct"/>
            <w:vMerge w:val="continue"/>
            <w:shd w:val="clear" w:color="auto" w:fill="auto"/>
            <w:vAlign w:val="center"/>
          </w:tcPr>
          <w:p w14:paraId="0A95628D">
            <w:pPr>
              <w:pStyle w:val="34"/>
              <w:bidi w:val="0"/>
              <w:rPr>
                <w:rFonts w:hint="eastAsia"/>
                <w:highlight w:val="none"/>
              </w:rPr>
            </w:pPr>
          </w:p>
        </w:tc>
        <w:tc>
          <w:tcPr>
            <w:tcW w:w="486" w:type="pct"/>
            <w:vMerge w:val="continue"/>
            <w:shd w:val="clear" w:color="auto" w:fill="auto"/>
            <w:vAlign w:val="center"/>
          </w:tcPr>
          <w:p w14:paraId="5FBF4E33">
            <w:pPr>
              <w:pStyle w:val="34"/>
              <w:bidi w:val="0"/>
              <w:rPr>
                <w:rFonts w:hint="eastAsia"/>
                <w:highlight w:val="none"/>
              </w:rPr>
            </w:pPr>
          </w:p>
        </w:tc>
      </w:tr>
      <w:tr w14:paraId="3CF3A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1378" w:type="pct"/>
            <w:gridSpan w:val="2"/>
            <w:shd w:val="clear" w:color="auto" w:fill="auto"/>
            <w:vAlign w:val="center"/>
          </w:tcPr>
          <w:p w14:paraId="60D5B797">
            <w:pPr>
              <w:pStyle w:val="34"/>
              <w:bidi w:val="0"/>
              <w:rPr>
                <w:rFonts w:hint="eastAsia"/>
                <w:highlight w:val="none"/>
              </w:rPr>
            </w:pPr>
            <w:r>
              <w:rPr>
                <w:rFonts w:hint="eastAsia"/>
                <w:highlight w:val="none"/>
                <w:lang w:val="en-US" w:eastAsia="zh-CN"/>
              </w:rPr>
              <w:t>第一部分：工程措施</w:t>
            </w:r>
          </w:p>
        </w:tc>
        <w:tc>
          <w:tcPr>
            <w:tcW w:w="1293" w:type="dxa"/>
            <w:shd w:val="clear" w:color="auto" w:fill="auto"/>
            <w:noWrap/>
            <w:vAlign w:val="center"/>
          </w:tcPr>
          <w:p w14:paraId="085029CB">
            <w:pPr>
              <w:pStyle w:val="34"/>
              <w:bidi w:val="0"/>
              <w:rPr>
                <w:rFonts w:hint="default"/>
                <w:highlight w:val="none"/>
              </w:rPr>
            </w:pPr>
          </w:p>
        </w:tc>
        <w:tc>
          <w:tcPr>
            <w:tcW w:w="966" w:type="dxa"/>
            <w:shd w:val="clear" w:color="auto" w:fill="auto"/>
            <w:vAlign w:val="center"/>
          </w:tcPr>
          <w:p w14:paraId="1D74AA05">
            <w:pPr>
              <w:pStyle w:val="34"/>
              <w:bidi w:val="0"/>
              <w:rPr>
                <w:rFonts w:hint="default"/>
                <w:highlight w:val="none"/>
              </w:rPr>
            </w:pPr>
          </w:p>
        </w:tc>
        <w:tc>
          <w:tcPr>
            <w:tcW w:w="1116" w:type="dxa"/>
            <w:shd w:val="clear" w:color="auto" w:fill="auto"/>
            <w:noWrap/>
            <w:vAlign w:val="center"/>
          </w:tcPr>
          <w:p w14:paraId="1B10B177">
            <w:pPr>
              <w:pStyle w:val="34"/>
              <w:bidi w:val="0"/>
              <w:rPr>
                <w:rFonts w:hint="default"/>
                <w:highlight w:val="none"/>
              </w:rPr>
            </w:pPr>
          </w:p>
        </w:tc>
        <w:tc>
          <w:tcPr>
            <w:tcW w:w="927" w:type="dxa"/>
            <w:shd w:val="clear" w:color="auto" w:fill="auto"/>
            <w:noWrap/>
            <w:vAlign w:val="center"/>
          </w:tcPr>
          <w:p w14:paraId="71620B1F">
            <w:pPr>
              <w:pStyle w:val="34"/>
              <w:bidi w:val="0"/>
              <w:rPr>
                <w:rFonts w:hint="default"/>
                <w:highlight w:val="none"/>
              </w:rPr>
            </w:pPr>
          </w:p>
        </w:tc>
        <w:tc>
          <w:tcPr>
            <w:tcW w:w="1518" w:type="dxa"/>
            <w:shd w:val="clear" w:color="auto" w:fill="auto"/>
            <w:noWrap/>
            <w:vAlign w:val="center"/>
          </w:tcPr>
          <w:p w14:paraId="3607FF98">
            <w:pPr>
              <w:pStyle w:val="34"/>
              <w:bidi w:val="0"/>
              <w:rPr>
                <w:rFonts w:hint="default"/>
                <w:b/>
                <w:bCs/>
                <w:highlight w:val="none"/>
              </w:rPr>
            </w:pPr>
            <w:r>
              <w:rPr>
                <w:rFonts w:hint="default"/>
                <w:b/>
                <w:bCs/>
                <w:highlight w:val="none"/>
                <w:lang w:val="en-US" w:eastAsia="zh-CN"/>
              </w:rPr>
              <w:t>46.39</w:t>
            </w:r>
          </w:p>
        </w:tc>
        <w:tc>
          <w:tcPr>
            <w:tcW w:w="903" w:type="dxa"/>
            <w:shd w:val="clear" w:color="auto" w:fill="auto"/>
            <w:noWrap/>
            <w:vAlign w:val="center"/>
          </w:tcPr>
          <w:p w14:paraId="43B47761">
            <w:pPr>
              <w:pStyle w:val="34"/>
              <w:bidi w:val="0"/>
              <w:rPr>
                <w:rFonts w:hint="default"/>
                <w:b/>
                <w:bCs/>
                <w:highlight w:val="none"/>
              </w:rPr>
            </w:pPr>
            <w:r>
              <w:rPr>
                <w:rFonts w:hint="default"/>
                <w:b/>
                <w:bCs/>
                <w:highlight w:val="none"/>
                <w:lang w:val="en-US" w:eastAsia="zh-CN"/>
              </w:rPr>
              <w:t>46.39</w:t>
            </w:r>
          </w:p>
        </w:tc>
      </w:tr>
      <w:tr w14:paraId="79C7B5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696" w:type="pct"/>
            <w:shd w:val="clear" w:color="auto" w:fill="auto"/>
            <w:vAlign w:val="center"/>
          </w:tcPr>
          <w:p w14:paraId="3CFF7429">
            <w:pPr>
              <w:pStyle w:val="34"/>
              <w:bidi w:val="0"/>
              <w:rPr>
                <w:rFonts w:hint="eastAsia"/>
                <w:highlight w:val="none"/>
              </w:rPr>
            </w:pPr>
            <w:r>
              <w:rPr>
                <w:rFonts w:hint="eastAsia"/>
                <w:highlight w:val="none"/>
                <w:lang w:val="en-US" w:eastAsia="zh-CN"/>
              </w:rPr>
              <w:t>一</w:t>
            </w:r>
          </w:p>
        </w:tc>
        <w:tc>
          <w:tcPr>
            <w:tcW w:w="682" w:type="pct"/>
            <w:shd w:val="clear" w:color="auto" w:fill="auto"/>
            <w:vAlign w:val="center"/>
          </w:tcPr>
          <w:p w14:paraId="1C80FFC0">
            <w:pPr>
              <w:pStyle w:val="34"/>
              <w:bidi w:val="0"/>
              <w:rPr>
                <w:rFonts w:hint="eastAsia"/>
                <w:highlight w:val="none"/>
              </w:rPr>
            </w:pPr>
            <w:r>
              <w:rPr>
                <w:rFonts w:hint="eastAsia"/>
                <w:highlight w:val="none"/>
                <w:lang w:val="en-US" w:eastAsia="zh-CN"/>
              </w:rPr>
              <w:t>建构筑物区</w:t>
            </w:r>
          </w:p>
        </w:tc>
        <w:tc>
          <w:tcPr>
            <w:tcW w:w="1293" w:type="dxa"/>
            <w:shd w:val="clear" w:color="auto" w:fill="auto"/>
            <w:noWrap/>
            <w:vAlign w:val="center"/>
          </w:tcPr>
          <w:p w14:paraId="7FD62AEE">
            <w:pPr>
              <w:pStyle w:val="34"/>
              <w:bidi w:val="0"/>
              <w:rPr>
                <w:rFonts w:hint="default"/>
                <w:highlight w:val="none"/>
              </w:rPr>
            </w:pPr>
          </w:p>
        </w:tc>
        <w:tc>
          <w:tcPr>
            <w:tcW w:w="966" w:type="dxa"/>
            <w:shd w:val="clear" w:color="auto" w:fill="auto"/>
            <w:vAlign w:val="center"/>
          </w:tcPr>
          <w:p w14:paraId="10E5789F">
            <w:pPr>
              <w:pStyle w:val="34"/>
              <w:bidi w:val="0"/>
              <w:rPr>
                <w:rFonts w:hint="default"/>
                <w:highlight w:val="none"/>
              </w:rPr>
            </w:pPr>
          </w:p>
        </w:tc>
        <w:tc>
          <w:tcPr>
            <w:tcW w:w="1116" w:type="dxa"/>
            <w:shd w:val="clear" w:color="auto" w:fill="auto"/>
            <w:noWrap/>
            <w:vAlign w:val="center"/>
          </w:tcPr>
          <w:p w14:paraId="107672FE">
            <w:pPr>
              <w:pStyle w:val="34"/>
              <w:bidi w:val="0"/>
              <w:rPr>
                <w:rFonts w:hint="default"/>
                <w:highlight w:val="none"/>
              </w:rPr>
            </w:pPr>
          </w:p>
        </w:tc>
        <w:tc>
          <w:tcPr>
            <w:tcW w:w="927" w:type="dxa"/>
            <w:shd w:val="clear" w:color="auto" w:fill="auto"/>
            <w:noWrap/>
            <w:vAlign w:val="center"/>
          </w:tcPr>
          <w:p w14:paraId="7B4833A8">
            <w:pPr>
              <w:pStyle w:val="34"/>
              <w:bidi w:val="0"/>
              <w:rPr>
                <w:rFonts w:hint="default"/>
                <w:highlight w:val="none"/>
              </w:rPr>
            </w:pPr>
          </w:p>
        </w:tc>
        <w:tc>
          <w:tcPr>
            <w:tcW w:w="1518" w:type="dxa"/>
            <w:shd w:val="clear" w:color="auto" w:fill="auto"/>
            <w:noWrap/>
            <w:vAlign w:val="center"/>
          </w:tcPr>
          <w:p w14:paraId="4EA62A89">
            <w:pPr>
              <w:pStyle w:val="34"/>
              <w:bidi w:val="0"/>
              <w:rPr>
                <w:rFonts w:hint="default"/>
                <w:highlight w:val="none"/>
              </w:rPr>
            </w:pPr>
            <w:r>
              <w:rPr>
                <w:rFonts w:hint="default"/>
                <w:highlight w:val="none"/>
                <w:lang w:val="en-US" w:eastAsia="zh-CN"/>
              </w:rPr>
              <w:t>0</w:t>
            </w:r>
          </w:p>
        </w:tc>
        <w:tc>
          <w:tcPr>
            <w:tcW w:w="903" w:type="dxa"/>
            <w:shd w:val="clear" w:color="auto" w:fill="auto"/>
            <w:noWrap/>
            <w:vAlign w:val="center"/>
          </w:tcPr>
          <w:p w14:paraId="68A77D28">
            <w:pPr>
              <w:pStyle w:val="34"/>
              <w:bidi w:val="0"/>
              <w:rPr>
                <w:rFonts w:hint="default"/>
                <w:highlight w:val="none"/>
              </w:rPr>
            </w:pPr>
            <w:r>
              <w:rPr>
                <w:rFonts w:hint="default"/>
                <w:highlight w:val="none"/>
                <w:lang w:val="en-US" w:eastAsia="zh-CN"/>
              </w:rPr>
              <w:t>0</w:t>
            </w:r>
          </w:p>
        </w:tc>
      </w:tr>
      <w:tr w14:paraId="5F5D0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96" w:type="pct"/>
            <w:shd w:val="clear" w:color="auto" w:fill="auto"/>
            <w:vAlign w:val="center"/>
          </w:tcPr>
          <w:p w14:paraId="61B05553">
            <w:pPr>
              <w:pStyle w:val="34"/>
              <w:bidi w:val="0"/>
              <w:rPr>
                <w:rFonts w:hint="eastAsia"/>
                <w:highlight w:val="none"/>
              </w:rPr>
            </w:pPr>
            <w:r>
              <w:rPr>
                <w:rFonts w:hint="eastAsia"/>
                <w:highlight w:val="none"/>
                <w:lang w:val="en-US" w:eastAsia="zh-CN"/>
              </w:rPr>
              <w:t>二</w:t>
            </w:r>
          </w:p>
        </w:tc>
        <w:tc>
          <w:tcPr>
            <w:tcW w:w="682" w:type="pct"/>
            <w:shd w:val="clear" w:color="auto" w:fill="auto"/>
            <w:vAlign w:val="center"/>
          </w:tcPr>
          <w:p w14:paraId="43D82FFE">
            <w:pPr>
              <w:pStyle w:val="34"/>
              <w:bidi w:val="0"/>
              <w:rPr>
                <w:rFonts w:hint="eastAsia"/>
                <w:highlight w:val="none"/>
              </w:rPr>
            </w:pPr>
            <w:r>
              <w:rPr>
                <w:rFonts w:hint="eastAsia"/>
                <w:highlight w:val="none"/>
                <w:lang w:val="en-US" w:eastAsia="zh-CN"/>
              </w:rPr>
              <w:t>道路硬化区</w:t>
            </w:r>
          </w:p>
        </w:tc>
        <w:tc>
          <w:tcPr>
            <w:tcW w:w="1293" w:type="dxa"/>
            <w:shd w:val="clear" w:color="auto" w:fill="auto"/>
            <w:noWrap/>
            <w:vAlign w:val="center"/>
          </w:tcPr>
          <w:p w14:paraId="46519A2A">
            <w:pPr>
              <w:pStyle w:val="34"/>
              <w:bidi w:val="0"/>
              <w:rPr>
                <w:rFonts w:hint="default"/>
                <w:highlight w:val="none"/>
              </w:rPr>
            </w:pPr>
          </w:p>
        </w:tc>
        <w:tc>
          <w:tcPr>
            <w:tcW w:w="966" w:type="dxa"/>
            <w:shd w:val="clear" w:color="auto" w:fill="auto"/>
            <w:vAlign w:val="center"/>
          </w:tcPr>
          <w:p w14:paraId="4AA1FD4E">
            <w:pPr>
              <w:pStyle w:val="34"/>
              <w:bidi w:val="0"/>
              <w:rPr>
                <w:rFonts w:hint="default"/>
                <w:highlight w:val="none"/>
              </w:rPr>
            </w:pPr>
          </w:p>
        </w:tc>
        <w:tc>
          <w:tcPr>
            <w:tcW w:w="1116" w:type="dxa"/>
            <w:shd w:val="clear" w:color="auto" w:fill="auto"/>
            <w:noWrap/>
            <w:vAlign w:val="center"/>
          </w:tcPr>
          <w:p w14:paraId="553A9572">
            <w:pPr>
              <w:pStyle w:val="34"/>
              <w:bidi w:val="0"/>
              <w:rPr>
                <w:rFonts w:hint="default"/>
                <w:highlight w:val="none"/>
              </w:rPr>
            </w:pPr>
          </w:p>
        </w:tc>
        <w:tc>
          <w:tcPr>
            <w:tcW w:w="927" w:type="dxa"/>
            <w:shd w:val="clear" w:color="auto" w:fill="auto"/>
            <w:noWrap/>
            <w:vAlign w:val="center"/>
          </w:tcPr>
          <w:p w14:paraId="66C3C50F">
            <w:pPr>
              <w:pStyle w:val="34"/>
              <w:bidi w:val="0"/>
              <w:rPr>
                <w:rFonts w:hint="default"/>
                <w:highlight w:val="none"/>
              </w:rPr>
            </w:pPr>
          </w:p>
        </w:tc>
        <w:tc>
          <w:tcPr>
            <w:tcW w:w="1518" w:type="dxa"/>
            <w:shd w:val="clear" w:color="auto" w:fill="auto"/>
            <w:noWrap/>
            <w:vAlign w:val="center"/>
          </w:tcPr>
          <w:p w14:paraId="50F8CED9">
            <w:pPr>
              <w:pStyle w:val="34"/>
              <w:bidi w:val="0"/>
              <w:rPr>
                <w:rFonts w:hint="default"/>
                <w:highlight w:val="none"/>
              </w:rPr>
            </w:pPr>
            <w:r>
              <w:rPr>
                <w:rFonts w:hint="default"/>
                <w:highlight w:val="none"/>
                <w:lang w:val="en-US" w:eastAsia="zh-CN"/>
              </w:rPr>
              <w:t>46.39</w:t>
            </w:r>
          </w:p>
        </w:tc>
        <w:tc>
          <w:tcPr>
            <w:tcW w:w="903" w:type="dxa"/>
            <w:shd w:val="clear" w:color="auto" w:fill="auto"/>
            <w:noWrap/>
            <w:vAlign w:val="center"/>
          </w:tcPr>
          <w:p w14:paraId="20F5CDB0">
            <w:pPr>
              <w:pStyle w:val="34"/>
              <w:bidi w:val="0"/>
              <w:rPr>
                <w:rFonts w:hint="default"/>
                <w:highlight w:val="none"/>
              </w:rPr>
            </w:pPr>
            <w:r>
              <w:rPr>
                <w:rFonts w:hint="default"/>
                <w:highlight w:val="none"/>
                <w:lang w:val="en-US" w:eastAsia="zh-CN"/>
              </w:rPr>
              <w:t>46.39</w:t>
            </w:r>
          </w:p>
        </w:tc>
      </w:tr>
      <w:tr w14:paraId="20AC5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77021C79">
            <w:pPr>
              <w:pStyle w:val="34"/>
              <w:bidi w:val="0"/>
              <w:rPr>
                <w:rFonts w:hint="eastAsia"/>
                <w:highlight w:val="none"/>
              </w:rPr>
            </w:pPr>
            <w:r>
              <w:rPr>
                <w:rFonts w:hint="eastAsia"/>
                <w:highlight w:val="none"/>
                <w:lang w:val="en-US" w:eastAsia="zh-CN"/>
              </w:rPr>
              <w:t>第二部分：临时措施</w:t>
            </w:r>
          </w:p>
        </w:tc>
        <w:tc>
          <w:tcPr>
            <w:tcW w:w="1293" w:type="dxa"/>
            <w:shd w:val="clear" w:color="auto" w:fill="auto"/>
            <w:noWrap/>
            <w:vAlign w:val="center"/>
          </w:tcPr>
          <w:p w14:paraId="7DD2A144">
            <w:pPr>
              <w:pStyle w:val="34"/>
              <w:bidi w:val="0"/>
              <w:rPr>
                <w:rFonts w:hint="default"/>
                <w:b/>
                <w:bCs/>
                <w:highlight w:val="none"/>
              </w:rPr>
            </w:pPr>
            <w:r>
              <w:rPr>
                <w:rFonts w:hint="default"/>
                <w:b/>
                <w:bCs/>
                <w:highlight w:val="none"/>
                <w:lang w:val="en-US" w:eastAsia="zh-CN"/>
              </w:rPr>
              <w:t>39.03</w:t>
            </w:r>
          </w:p>
        </w:tc>
        <w:tc>
          <w:tcPr>
            <w:tcW w:w="966" w:type="dxa"/>
            <w:shd w:val="clear" w:color="auto" w:fill="auto"/>
            <w:vAlign w:val="center"/>
          </w:tcPr>
          <w:p w14:paraId="2927E917">
            <w:pPr>
              <w:pStyle w:val="34"/>
              <w:bidi w:val="0"/>
              <w:rPr>
                <w:rFonts w:hint="default"/>
                <w:b/>
                <w:bCs/>
                <w:highlight w:val="none"/>
              </w:rPr>
            </w:pPr>
          </w:p>
        </w:tc>
        <w:tc>
          <w:tcPr>
            <w:tcW w:w="1116" w:type="dxa"/>
            <w:shd w:val="clear" w:color="auto" w:fill="auto"/>
            <w:noWrap/>
            <w:vAlign w:val="center"/>
          </w:tcPr>
          <w:p w14:paraId="22E40924">
            <w:pPr>
              <w:pStyle w:val="34"/>
              <w:bidi w:val="0"/>
              <w:rPr>
                <w:rFonts w:hint="default"/>
                <w:b/>
                <w:bCs/>
                <w:highlight w:val="none"/>
              </w:rPr>
            </w:pPr>
          </w:p>
        </w:tc>
        <w:tc>
          <w:tcPr>
            <w:tcW w:w="927" w:type="dxa"/>
            <w:shd w:val="clear" w:color="auto" w:fill="auto"/>
            <w:noWrap/>
            <w:vAlign w:val="center"/>
          </w:tcPr>
          <w:p w14:paraId="037C0A1F">
            <w:pPr>
              <w:pStyle w:val="34"/>
              <w:bidi w:val="0"/>
              <w:rPr>
                <w:rFonts w:hint="default"/>
                <w:b/>
                <w:bCs/>
                <w:highlight w:val="none"/>
              </w:rPr>
            </w:pPr>
            <w:r>
              <w:rPr>
                <w:rFonts w:hint="default"/>
                <w:b/>
                <w:bCs/>
                <w:highlight w:val="none"/>
                <w:lang w:val="en-US" w:eastAsia="zh-CN"/>
              </w:rPr>
              <w:t>39.03</w:t>
            </w:r>
          </w:p>
        </w:tc>
        <w:tc>
          <w:tcPr>
            <w:tcW w:w="1518" w:type="dxa"/>
            <w:shd w:val="clear" w:color="auto" w:fill="auto"/>
            <w:noWrap/>
            <w:vAlign w:val="center"/>
          </w:tcPr>
          <w:p w14:paraId="0763F3A3">
            <w:pPr>
              <w:pStyle w:val="34"/>
              <w:bidi w:val="0"/>
              <w:rPr>
                <w:rFonts w:hint="default"/>
                <w:b/>
                <w:bCs/>
                <w:highlight w:val="none"/>
              </w:rPr>
            </w:pPr>
          </w:p>
        </w:tc>
        <w:tc>
          <w:tcPr>
            <w:tcW w:w="903" w:type="dxa"/>
            <w:shd w:val="clear" w:color="auto" w:fill="auto"/>
            <w:noWrap/>
            <w:vAlign w:val="center"/>
          </w:tcPr>
          <w:p w14:paraId="34D8F732">
            <w:pPr>
              <w:pStyle w:val="34"/>
              <w:bidi w:val="0"/>
              <w:rPr>
                <w:rFonts w:hint="default"/>
                <w:b/>
                <w:bCs/>
                <w:highlight w:val="none"/>
              </w:rPr>
            </w:pPr>
            <w:r>
              <w:rPr>
                <w:rFonts w:hint="default"/>
                <w:b/>
                <w:bCs/>
                <w:highlight w:val="none"/>
                <w:lang w:val="en-US" w:eastAsia="zh-CN"/>
              </w:rPr>
              <w:t>39.03</w:t>
            </w:r>
          </w:p>
        </w:tc>
      </w:tr>
      <w:tr w14:paraId="3D7BD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5D2BA1EA">
            <w:pPr>
              <w:pStyle w:val="34"/>
              <w:bidi w:val="0"/>
              <w:rPr>
                <w:rFonts w:hint="eastAsia"/>
                <w:highlight w:val="none"/>
              </w:rPr>
            </w:pPr>
            <w:r>
              <w:rPr>
                <w:rFonts w:hint="eastAsia"/>
                <w:highlight w:val="none"/>
                <w:lang w:val="en-US" w:eastAsia="zh-CN"/>
              </w:rPr>
              <w:t>（一）临时防护工程</w:t>
            </w:r>
          </w:p>
        </w:tc>
        <w:tc>
          <w:tcPr>
            <w:tcW w:w="1293" w:type="dxa"/>
            <w:shd w:val="clear" w:color="auto" w:fill="auto"/>
            <w:noWrap/>
            <w:vAlign w:val="center"/>
          </w:tcPr>
          <w:p w14:paraId="17CB52F2">
            <w:pPr>
              <w:pStyle w:val="34"/>
              <w:bidi w:val="0"/>
              <w:rPr>
                <w:rFonts w:hint="default"/>
                <w:highlight w:val="none"/>
              </w:rPr>
            </w:pPr>
            <w:r>
              <w:rPr>
                <w:rFonts w:hint="default"/>
                <w:highlight w:val="none"/>
                <w:lang w:val="en-US" w:eastAsia="zh-CN"/>
              </w:rPr>
              <w:t>38.26</w:t>
            </w:r>
          </w:p>
        </w:tc>
        <w:tc>
          <w:tcPr>
            <w:tcW w:w="966" w:type="dxa"/>
            <w:shd w:val="clear" w:color="auto" w:fill="auto"/>
            <w:vAlign w:val="center"/>
          </w:tcPr>
          <w:p w14:paraId="7F771592">
            <w:pPr>
              <w:pStyle w:val="34"/>
              <w:bidi w:val="0"/>
              <w:rPr>
                <w:rFonts w:hint="default"/>
                <w:highlight w:val="none"/>
              </w:rPr>
            </w:pPr>
          </w:p>
        </w:tc>
        <w:tc>
          <w:tcPr>
            <w:tcW w:w="1116" w:type="dxa"/>
            <w:shd w:val="clear" w:color="auto" w:fill="auto"/>
            <w:noWrap/>
            <w:vAlign w:val="center"/>
          </w:tcPr>
          <w:p w14:paraId="67AE7E2F">
            <w:pPr>
              <w:pStyle w:val="34"/>
              <w:bidi w:val="0"/>
              <w:rPr>
                <w:rFonts w:hint="default"/>
                <w:highlight w:val="none"/>
              </w:rPr>
            </w:pPr>
          </w:p>
        </w:tc>
        <w:tc>
          <w:tcPr>
            <w:tcW w:w="927" w:type="dxa"/>
            <w:shd w:val="clear" w:color="auto" w:fill="auto"/>
            <w:noWrap/>
            <w:vAlign w:val="center"/>
          </w:tcPr>
          <w:p w14:paraId="00F64ADC">
            <w:pPr>
              <w:pStyle w:val="34"/>
              <w:bidi w:val="0"/>
              <w:rPr>
                <w:rFonts w:hint="default"/>
                <w:highlight w:val="none"/>
              </w:rPr>
            </w:pPr>
            <w:r>
              <w:rPr>
                <w:rFonts w:hint="default"/>
                <w:highlight w:val="none"/>
                <w:lang w:val="en-US" w:eastAsia="zh-CN"/>
              </w:rPr>
              <w:t>38.26</w:t>
            </w:r>
          </w:p>
        </w:tc>
        <w:tc>
          <w:tcPr>
            <w:tcW w:w="1518" w:type="dxa"/>
            <w:shd w:val="clear" w:color="auto" w:fill="auto"/>
            <w:noWrap/>
            <w:vAlign w:val="center"/>
          </w:tcPr>
          <w:p w14:paraId="7036069B">
            <w:pPr>
              <w:pStyle w:val="34"/>
              <w:bidi w:val="0"/>
              <w:rPr>
                <w:rFonts w:hint="default"/>
                <w:highlight w:val="none"/>
              </w:rPr>
            </w:pPr>
          </w:p>
        </w:tc>
        <w:tc>
          <w:tcPr>
            <w:tcW w:w="903" w:type="dxa"/>
            <w:shd w:val="clear" w:color="auto" w:fill="auto"/>
            <w:noWrap/>
            <w:vAlign w:val="center"/>
          </w:tcPr>
          <w:p w14:paraId="34B43D47">
            <w:pPr>
              <w:pStyle w:val="34"/>
              <w:bidi w:val="0"/>
              <w:rPr>
                <w:rFonts w:hint="default"/>
                <w:highlight w:val="none"/>
              </w:rPr>
            </w:pPr>
            <w:r>
              <w:rPr>
                <w:rFonts w:hint="default"/>
                <w:highlight w:val="none"/>
                <w:lang w:val="en-US" w:eastAsia="zh-CN"/>
              </w:rPr>
              <w:t>38.26</w:t>
            </w:r>
          </w:p>
        </w:tc>
      </w:tr>
      <w:tr w14:paraId="3ABCF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696" w:type="pct"/>
            <w:shd w:val="clear" w:color="auto" w:fill="auto"/>
            <w:vAlign w:val="center"/>
          </w:tcPr>
          <w:p w14:paraId="04AC6C7C">
            <w:pPr>
              <w:pStyle w:val="34"/>
              <w:bidi w:val="0"/>
              <w:rPr>
                <w:rFonts w:hint="eastAsia"/>
                <w:highlight w:val="none"/>
              </w:rPr>
            </w:pPr>
            <w:r>
              <w:rPr>
                <w:rFonts w:hint="eastAsia"/>
                <w:highlight w:val="none"/>
                <w:lang w:val="en-US" w:eastAsia="zh-CN"/>
              </w:rPr>
              <w:t>一</w:t>
            </w:r>
          </w:p>
        </w:tc>
        <w:tc>
          <w:tcPr>
            <w:tcW w:w="682" w:type="pct"/>
            <w:shd w:val="clear" w:color="auto" w:fill="auto"/>
            <w:vAlign w:val="center"/>
          </w:tcPr>
          <w:p w14:paraId="32BB079B">
            <w:pPr>
              <w:pStyle w:val="34"/>
              <w:bidi w:val="0"/>
              <w:rPr>
                <w:rFonts w:hint="eastAsia"/>
                <w:highlight w:val="none"/>
              </w:rPr>
            </w:pPr>
            <w:r>
              <w:rPr>
                <w:rFonts w:hint="eastAsia"/>
                <w:highlight w:val="none"/>
                <w:lang w:val="en-US" w:eastAsia="zh-CN"/>
              </w:rPr>
              <w:t>建构筑物区</w:t>
            </w:r>
          </w:p>
        </w:tc>
        <w:tc>
          <w:tcPr>
            <w:tcW w:w="1293" w:type="dxa"/>
            <w:shd w:val="clear" w:color="auto" w:fill="auto"/>
            <w:noWrap/>
            <w:vAlign w:val="center"/>
          </w:tcPr>
          <w:p w14:paraId="16F65D9A">
            <w:pPr>
              <w:pStyle w:val="34"/>
              <w:bidi w:val="0"/>
              <w:rPr>
                <w:rFonts w:hint="default"/>
                <w:highlight w:val="none"/>
              </w:rPr>
            </w:pPr>
            <w:r>
              <w:rPr>
                <w:rFonts w:hint="default"/>
                <w:highlight w:val="none"/>
                <w:lang w:val="en-US" w:eastAsia="zh-CN"/>
              </w:rPr>
              <w:t>13.8</w:t>
            </w:r>
          </w:p>
        </w:tc>
        <w:tc>
          <w:tcPr>
            <w:tcW w:w="966" w:type="dxa"/>
            <w:shd w:val="clear" w:color="auto" w:fill="auto"/>
            <w:vAlign w:val="center"/>
          </w:tcPr>
          <w:p w14:paraId="05A2A5C5">
            <w:pPr>
              <w:pStyle w:val="34"/>
              <w:bidi w:val="0"/>
              <w:rPr>
                <w:rFonts w:hint="default"/>
                <w:highlight w:val="none"/>
              </w:rPr>
            </w:pPr>
          </w:p>
        </w:tc>
        <w:tc>
          <w:tcPr>
            <w:tcW w:w="1116" w:type="dxa"/>
            <w:shd w:val="clear" w:color="auto" w:fill="auto"/>
            <w:noWrap/>
            <w:vAlign w:val="center"/>
          </w:tcPr>
          <w:p w14:paraId="6E848E15">
            <w:pPr>
              <w:pStyle w:val="34"/>
              <w:bidi w:val="0"/>
              <w:rPr>
                <w:rFonts w:hint="default"/>
                <w:highlight w:val="none"/>
              </w:rPr>
            </w:pPr>
          </w:p>
        </w:tc>
        <w:tc>
          <w:tcPr>
            <w:tcW w:w="927" w:type="dxa"/>
            <w:shd w:val="clear" w:color="auto" w:fill="auto"/>
            <w:noWrap/>
            <w:vAlign w:val="center"/>
          </w:tcPr>
          <w:p w14:paraId="555814FA">
            <w:pPr>
              <w:pStyle w:val="34"/>
              <w:bidi w:val="0"/>
              <w:rPr>
                <w:rFonts w:hint="default"/>
                <w:highlight w:val="none"/>
              </w:rPr>
            </w:pPr>
            <w:r>
              <w:rPr>
                <w:rFonts w:hint="default"/>
                <w:highlight w:val="none"/>
                <w:lang w:val="en-US" w:eastAsia="zh-CN"/>
              </w:rPr>
              <w:t>13.8</w:t>
            </w:r>
          </w:p>
        </w:tc>
        <w:tc>
          <w:tcPr>
            <w:tcW w:w="1518" w:type="dxa"/>
            <w:shd w:val="clear" w:color="auto" w:fill="auto"/>
            <w:noWrap/>
            <w:vAlign w:val="center"/>
          </w:tcPr>
          <w:p w14:paraId="11681A85">
            <w:pPr>
              <w:pStyle w:val="34"/>
              <w:bidi w:val="0"/>
              <w:rPr>
                <w:rFonts w:hint="default"/>
                <w:highlight w:val="none"/>
              </w:rPr>
            </w:pPr>
          </w:p>
        </w:tc>
        <w:tc>
          <w:tcPr>
            <w:tcW w:w="903" w:type="dxa"/>
            <w:shd w:val="clear" w:color="auto" w:fill="auto"/>
            <w:noWrap/>
            <w:vAlign w:val="center"/>
          </w:tcPr>
          <w:p w14:paraId="583DD32E">
            <w:pPr>
              <w:pStyle w:val="34"/>
              <w:bidi w:val="0"/>
              <w:rPr>
                <w:rFonts w:hint="default"/>
                <w:highlight w:val="none"/>
              </w:rPr>
            </w:pPr>
            <w:r>
              <w:rPr>
                <w:rFonts w:hint="default"/>
                <w:highlight w:val="none"/>
                <w:lang w:val="en-US" w:eastAsia="zh-CN"/>
              </w:rPr>
              <w:t>13.8</w:t>
            </w:r>
          </w:p>
        </w:tc>
      </w:tr>
      <w:tr w14:paraId="1A34D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696" w:type="pct"/>
            <w:shd w:val="clear" w:color="auto" w:fill="auto"/>
            <w:vAlign w:val="center"/>
          </w:tcPr>
          <w:p w14:paraId="047B930F">
            <w:pPr>
              <w:pStyle w:val="34"/>
              <w:bidi w:val="0"/>
              <w:rPr>
                <w:rFonts w:hint="eastAsia"/>
                <w:highlight w:val="none"/>
              </w:rPr>
            </w:pPr>
            <w:r>
              <w:rPr>
                <w:rFonts w:hint="eastAsia"/>
                <w:highlight w:val="none"/>
                <w:lang w:val="en-US" w:eastAsia="zh-CN"/>
              </w:rPr>
              <w:t>二</w:t>
            </w:r>
          </w:p>
        </w:tc>
        <w:tc>
          <w:tcPr>
            <w:tcW w:w="682" w:type="pct"/>
            <w:shd w:val="clear" w:color="auto" w:fill="auto"/>
            <w:vAlign w:val="center"/>
          </w:tcPr>
          <w:p w14:paraId="348DC63D">
            <w:pPr>
              <w:pStyle w:val="34"/>
              <w:bidi w:val="0"/>
              <w:rPr>
                <w:rFonts w:hint="eastAsia"/>
                <w:highlight w:val="none"/>
              </w:rPr>
            </w:pPr>
            <w:r>
              <w:rPr>
                <w:rFonts w:hint="eastAsia"/>
                <w:highlight w:val="none"/>
                <w:lang w:val="en-US" w:eastAsia="zh-CN"/>
              </w:rPr>
              <w:t>道路硬化区</w:t>
            </w:r>
          </w:p>
        </w:tc>
        <w:tc>
          <w:tcPr>
            <w:tcW w:w="1293" w:type="dxa"/>
            <w:shd w:val="clear" w:color="auto" w:fill="auto"/>
            <w:noWrap/>
            <w:vAlign w:val="center"/>
          </w:tcPr>
          <w:p w14:paraId="6C0C66D5">
            <w:pPr>
              <w:pStyle w:val="34"/>
              <w:bidi w:val="0"/>
              <w:rPr>
                <w:rFonts w:hint="default"/>
                <w:highlight w:val="none"/>
              </w:rPr>
            </w:pPr>
            <w:r>
              <w:rPr>
                <w:rFonts w:hint="default"/>
                <w:highlight w:val="none"/>
                <w:lang w:val="en-US" w:eastAsia="zh-CN"/>
              </w:rPr>
              <w:t>24.46</w:t>
            </w:r>
          </w:p>
        </w:tc>
        <w:tc>
          <w:tcPr>
            <w:tcW w:w="966" w:type="dxa"/>
            <w:shd w:val="clear" w:color="auto" w:fill="auto"/>
            <w:vAlign w:val="center"/>
          </w:tcPr>
          <w:p w14:paraId="2CCBAF55">
            <w:pPr>
              <w:pStyle w:val="34"/>
              <w:bidi w:val="0"/>
              <w:rPr>
                <w:rFonts w:hint="default"/>
                <w:highlight w:val="none"/>
              </w:rPr>
            </w:pPr>
          </w:p>
        </w:tc>
        <w:tc>
          <w:tcPr>
            <w:tcW w:w="1116" w:type="dxa"/>
            <w:shd w:val="clear" w:color="auto" w:fill="auto"/>
            <w:noWrap/>
            <w:vAlign w:val="center"/>
          </w:tcPr>
          <w:p w14:paraId="37D299EE">
            <w:pPr>
              <w:pStyle w:val="34"/>
              <w:bidi w:val="0"/>
              <w:rPr>
                <w:rFonts w:hint="default"/>
                <w:highlight w:val="none"/>
              </w:rPr>
            </w:pPr>
          </w:p>
        </w:tc>
        <w:tc>
          <w:tcPr>
            <w:tcW w:w="927" w:type="dxa"/>
            <w:shd w:val="clear" w:color="auto" w:fill="auto"/>
            <w:noWrap/>
            <w:vAlign w:val="center"/>
          </w:tcPr>
          <w:p w14:paraId="7BB22682">
            <w:pPr>
              <w:pStyle w:val="34"/>
              <w:bidi w:val="0"/>
              <w:rPr>
                <w:rFonts w:hint="default"/>
                <w:highlight w:val="none"/>
              </w:rPr>
            </w:pPr>
            <w:r>
              <w:rPr>
                <w:rFonts w:hint="default"/>
                <w:highlight w:val="none"/>
                <w:lang w:val="en-US" w:eastAsia="zh-CN"/>
              </w:rPr>
              <w:t>24.46</w:t>
            </w:r>
          </w:p>
        </w:tc>
        <w:tc>
          <w:tcPr>
            <w:tcW w:w="1518" w:type="dxa"/>
            <w:shd w:val="clear" w:color="auto" w:fill="auto"/>
            <w:noWrap/>
            <w:vAlign w:val="center"/>
          </w:tcPr>
          <w:p w14:paraId="55B83B8E">
            <w:pPr>
              <w:pStyle w:val="34"/>
              <w:bidi w:val="0"/>
              <w:rPr>
                <w:rFonts w:hint="default"/>
                <w:highlight w:val="none"/>
              </w:rPr>
            </w:pPr>
          </w:p>
        </w:tc>
        <w:tc>
          <w:tcPr>
            <w:tcW w:w="903" w:type="dxa"/>
            <w:shd w:val="clear" w:color="auto" w:fill="auto"/>
            <w:noWrap/>
            <w:vAlign w:val="center"/>
          </w:tcPr>
          <w:p w14:paraId="012DAFC2">
            <w:pPr>
              <w:pStyle w:val="34"/>
              <w:bidi w:val="0"/>
              <w:rPr>
                <w:rFonts w:hint="default"/>
                <w:highlight w:val="none"/>
              </w:rPr>
            </w:pPr>
            <w:r>
              <w:rPr>
                <w:rFonts w:hint="default"/>
                <w:highlight w:val="none"/>
                <w:lang w:val="en-US" w:eastAsia="zh-CN"/>
              </w:rPr>
              <w:t>24.46</w:t>
            </w:r>
          </w:p>
        </w:tc>
      </w:tr>
      <w:tr w14:paraId="1F7A2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258918B7">
            <w:pPr>
              <w:pStyle w:val="34"/>
              <w:bidi w:val="0"/>
              <w:rPr>
                <w:rFonts w:hint="eastAsia"/>
                <w:highlight w:val="none"/>
              </w:rPr>
            </w:pPr>
            <w:r>
              <w:rPr>
                <w:rFonts w:hint="eastAsia"/>
                <w:highlight w:val="none"/>
                <w:lang w:val="en-US" w:eastAsia="zh-CN"/>
              </w:rPr>
              <w:t>（二）其他临时措施</w:t>
            </w:r>
          </w:p>
        </w:tc>
        <w:tc>
          <w:tcPr>
            <w:tcW w:w="1293" w:type="dxa"/>
            <w:shd w:val="clear" w:color="auto" w:fill="auto"/>
            <w:noWrap/>
            <w:vAlign w:val="center"/>
          </w:tcPr>
          <w:p w14:paraId="752D1852">
            <w:pPr>
              <w:pStyle w:val="34"/>
              <w:bidi w:val="0"/>
              <w:rPr>
                <w:rFonts w:hint="default"/>
                <w:highlight w:val="none"/>
              </w:rPr>
            </w:pPr>
            <w:r>
              <w:rPr>
                <w:rFonts w:hint="default"/>
                <w:highlight w:val="none"/>
                <w:lang w:val="en-US" w:eastAsia="zh-CN"/>
              </w:rPr>
              <w:t>0.77</w:t>
            </w:r>
          </w:p>
        </w:tc>
        <w:tc>
          <w:tcPr>
            <w:tcW w:w="966" w:type="dxa"/>
            <w:shd w:val="clear" w:color="auto" w:fill="auto"/>
            <w:vAlign w:val="center"/>
          </w:tcPr>
          <w:p w14:paraId="5DF03BB8">
            <w:pPr>
              <w:pStyle w:val="34"/>
              <w:bidi w:val="0"/>
              <w:rPr>
                <w:rFonts w:hint="default"/>
                <w:highlight w:val="none"/>
              </w:rPr>
            </w:pPr>
          </w:p>
        </w:tc>
        <w:tc>
          <w:tcPr>
            <w:tcW w:w="1116" w:type="dxa"/>
            <w:shd w:val="clear" w:color="auto" w:fill="auto"/>
            <w:noWrap/>
            <w:vAlign w:val="center"/>
          </w:tcPr>
          <w:p w14:paraId="4EE4846A">
            <w:pPr>
              <w:pStyle w:val="34"/>
              <w:bidi w:val="0"/>
              <w:rPr>
                <w:rFonts w:hint="default"/>
                <w:highlight w:val="none"/>
              </w:rPr>
            </w:pPr>
          </w:p>
        </w:tc>
        <w:tc>
          <w:tcPr>
            <w:tcW w:w="927" w:type="dxa"/>
            <w:shd w:val="clear" w:color="auto" w:fill="auto"/>
            <w:noWrap/>
            <w:vAlign w:val="center"/>
          </w:tcPr>
          <w:p w14:paraId="4A93B5C8">
            <w:pPr>
              <w:pStyle w:val="34"/>
              <w:bidi w:val="0"/>
              <w:rPr>
                <w:rFonts w:hint="default"/>
                <w:highlight w:val="none"/>
              </w:rPr>
            </w:pPr>
            <w:r>
              <w:rPr>
                <w:rFonts w:hint="default"/>
                <w:highlight w:val="none"/>
                <w:lang w:val="en-US" w:eastAsia="zh-CN"/>
              </w:rPr>
              <w:t>0.77</w:t>
            </w:r>
          </w:p>
        </w:tc>
        <w:tc>
          <w:tcPr>
            <w:tcW w:w="1518" w:type="dxa"/>
            <w:shd w:val="clear" w:color="auto" w:fill="auto"/>
            <w:noWrap/>
            <w:vAlign w:val="center"/>
          </w:tcPr>
          <w:p w14:paraId="21123C06">
            <w:pPr>
              <w:pStyle w:val="34"/>
              <w:bidi w:val="0"/>
              <w:rPr>
                <w:rFonts w:hint="default"/>
                <w:highlight w:val="none"/>
              </w:rPr>
            </w:pPr>
          </w:p>
        </w:tc>
        <w:tc>
          <w:tcPr>
            <w:tcW w:w="903" w:type="dxa"/>
            <w:shd w:val="clear" w:color="auto" w:fill="auto"/>
            <w:noWrap/>
            <w:vAlign w:val="center"/>
          </w:tcPr>
          <w:p w14:paraId="3101358E">
            <w:pPr>
              <w:pStyle w:val="34"/>
              <w:bidi w:val="0"/>
              <w:rPr>
                <w:rFonts w:hint="default"/>
                <w:highlight w:val="none"/>
              </w:rPr>
            </w:pPr>
            <w:r>
              <w:rPr>
                <w:rFonts w:hint="default"/>
                <w:highlight w:val="none"/>
                <w:lang w:val="en-US" w:eastAsia="zh-CN"/>
              </w:rPr>
              <w:t>0.77</w:t>
            </w:r>
          </w:p>
        </w:tc>
      </w:tr>
      <w:tr w14:paraId="113C4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250FE260">
            <w:pPr>
              <w:pStyle w:val="34"/>
              <w:bidi w:val="0"/>
              <w:rPr>
                <w:rFonts w:hint="eastAsia"/>
                <w:highlight w:val="none"/>
              </w:rPr>
            </w:pPr>
            <w:r>
              <w:rPr>
                <w:rFonts w:hint="eastAsia"/>
                <w:highlight w:val="none"/>
                <w:lang w:val="en-US" w:eastAsia="zh-CN"/>
              </w:rPr>
              <w:t>第三部分：独立费用</w:t>
            </w:r>
          </w:p>
        </w:tc>
        <w:tc>
          <w:tcPr>
            <w:tcW w:w="1293" w:type="dxa"/>
            <w:shd w:val="clear" w:color="auto" w:fill="auto"/>
            <w:noWrap/>
            <w:vAlign w:val="center"/>
          </w:tcPr>
          <w:p w14:paraId="0771F758">
            <w:pPr>
              <w:pStyle w:val="34"/>
              <w:bidi w:val="0"/>
              <w:rPr>
                <w:rFonts w:hint="default"/>
                <w:b/>
                <w:bCs/>
                <w:highlight w:val="none"/>
              </w:rPr>
            </w:pPr>
          </w:p>
        </w:tc>
        <w:tc>
          <w:tcPr>
            <w:tcW w:w="966" w:type="dxa"/>
            <w:shd w:val="clear" w:color="auto" w:fill="auto"/>
            <w:vAlign w:val="center"/>
          </w:tcPr>
          <w:p w14:paraId="7297F2B8">
            <w:pPr>
              <w:pStyle w:val="34"/>
              <w:bidi w:val="0"/>
              <w:rPr>
                <w:rFonts w:hint="default"/>
                <w:b/>
                <w:bCs/>
                <w:highlight w:val="none"/>
              </w:rPr>
            </w:pPr>
          </w:p>
        </w:tc>
        <w:tc>
          <w:tcPr>
            <w:tcW w:w="1116" w:type="dxa"/>
            <w:shd w:val="clear" w:color="auto" w:fill="auto"/>
            <w:noWrap/>
            <w:vAlign w:val="center"/>
          </w:tcPr>
          <w:p w14:paraId="7C19D637">
            <w:pPr>
              <w:pStyle w:val="34"/>
              <w:bidi w:val="0"/>
              <w:rPr>
                <w:rFonts w:hint="default"/>
                <w:b/>
                <w:bCs/>
                <w:highlight w:val="none"/>
              </w:rPr>
            </w:pPr>
            <w:r>
              <w:rPr>
                <w:rFonts w:hint="default"/>
                <w:b/>
                <w:bCs/>
                <w:highlight w:val="none"/>
                <w:lang w:val="en-US" w:eastAsia="zh-CN"/>
              </w:rPr>
              <w:t>4.78</w:t>
            </w:r>
          </w:p>
        </w:tc>
        <w:tc>
          <w:tcPr>
            <w:tcW w:w="927" w:type="dxa"/>
            <w:shd w:val="clear" w:color="auto" w:fill="auto"/>
            <w:noWrap/>
            <w:vAlign w:val="center"/>
          </w:tcPr>
          <w:p w14:paraId="1363C14B">
            <w:pPr>
              <w:pStyle w:val="34"/>
              <w:bidi w:val="0"/>
              <w:rPr>
                <w:rFonts w:hint="default"/>
                <w:b/>
                <w:bCs/>
                <w:highlight w:val="none"/>
              </w:rPr>
            </w:pPr>
            <w:r>
              <w:rPr>
                <w:rFonts w:hint="default"/>
                <w:b/>
                <w:bCs/>
                <w:highlight w:val="none"/>
                <w:lang w:val="en-US" w:eastAsia="zh-CN"/>
              </w:rPr>
              <w:t>4.78</w:t>
            </w:r>
          </w:p>
        </w:tc>
        <w:tc>
          <w:tcPr>
            <w:tcW w:w="1518" w:type="dxa"/>
            <w:shd w:val="clear" w:color="auto" w:fill="auto"/>
            <w:noWrap/>
            <w:vAlign w:val="center"/>
          </w:tcPr>
          <w:p w14:paraId="4DBADDDF">
            <w:pPr>
              <w:pStyle w:val="34"/>
              <w:bidi w:val="0"/>
              <w:rPr>
                <w:rFonts w:hint="default"/>
                <w:b/>
                <w:bCs/>
                <w:highlight w:val="none"/>
              </w:rPr>
            </w:pPr>
          </w:p>
        </w:tc>
        <w:tc>
          <w:tcPr>
            <w:tcW w:w="903" w:type="dxa"/>
            <w:shd w:val="clear" w:color="auto" w:fill="auto"/>
            <w:noWrap/>
            <w:vAlign w:val="center"/>
          </w:tcPr>
          <w:p w14:paraId="5EA02329">
            <w:pPr>
              <w:pStyle w:val="34"/>
              <w:bidi w:val="0"/>
              <w:rPr>
                <w:rFonts w:hint="default"/>
                <w:b/>
                <w:bCs/>
                <w:highlight w:val="none"/>
              </w:rPr>
            </w:pPr>
            <w:r>
              <w:rPr>
                <w:rFonts w:hint="default"/>
                <w:b/>
                <w:bCs/>
                <w:highlight w:val="none"/>
                <w:lang w:val="en-US" w:eastAsia="zh-CN"/>
              </w:rPr>
              <w:t>4.78</w:t>
            </w:r>
          </w:p>
        </w:tc>
      </w:tr>
      <w:tr w14:paraId="0FC0CB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3B7A29A8">
            <w:pPr>
              <w:pStyle w:val="34"/>
              <w:bidi w:val="0"/>
              <w:rPr>
                <w:rFonts w:hint="eastAsia"/>
                <w:highlight w:val="none"/>
              </w:rPr>
            </w:pPr>
            <w:r>
              <w:rPr>
                <w:rFonts w:hint="eastAsia"/>
                <w:highlight w:val="none"/>
                <w:lang w:val="en-US" w:eastAsia="zh-CN"/>
              </w:rPr>
              <w:t>建设单位管理费</w:t>
            </w:r>
          </w:p>
        </w:tc>
        <w:tc>
          <w:tcPr>
            <w:tcW w:w="1293" w:type="dxa"/>
            <w:shd w:val="clear" w:color="auto" w:fill="auto"/>
            <w:noWrap/>
            <w:vAlign w:val="center"/>
          </w:tcPr>
          <w:p w14:paraId="2C319EE5">
            <w:pPr>
              <w:pStyle w:val="34"/>
              <w:bidi w:val="0"/>
              <w:rPr>
                <w:rFonts w:hint="default"/>
                <w:highlight w:val="none"/>
              </w:rPr>
            </w:pPr>
          </w:p>
        </w:tc>
        <w:tc>
          <w:tcPr>
            <w:tcW w:w="966" w:type="dxa"/>
            <w:shd w:val="clear" w:color="auto" w:fill="auto"/>
            <w:vAlign w:val="center"/>
          </w:tcPr>
          <w:p w14:paraId="1CBA1F88">
            <w:pPr>
              <w:pStyle w:val="34"/>
              <w:bidi w:val="0"/>
              <w:rPr>
                <w:rFonts w:hint="default"/>
                <w:highlight w:val="none"/>
              </w:rPr>
            </w:pPr>
          </w:p>
        </w:tc>
        <w:tc>
          <w:tcPr>
            <w:tcW w:w="1116" w:type="dxa"/>
            <w:shd w:val="clear" w:color="auto" w:fill="auto"/>
            <w:noWrap/>
            <w:vAlign w:val="center"/>
          </w:tcPr>
          <w:p w14:paraId="014482FF">
            <w:pPr>
              <w:pStyle w:val="34"/>
              <w:bidi w:val="0"/>
              <w:rPr>
                <w:rFonts w:hint="default"/>
                <w:highlight w:val="none"/>
              </w:rPr>
            </w:pPr>
            <w:r>
              <w:rPr>
                <w:rFonts w:hint="default"/>
                <w:highlight w:val="none"/>
                <w:lang w:val="en-US" w:eastAsia="zh-CN"/>
              </w:rPr>
              <w:t>0.78</w:t>
            </w:r>
          </w:p>
        </w:tc>
        <w:tc>
          <w:tcPr>
            <w:tcW w:w="927" w:type="dxa"/>
            <w:shd w:val="clear" w:color="auto" w:fill="auto"/>
            <w:noWrap/>
            <w:vAlign w:val="center"/>
          </w:tcPr>
          <w:p w14:paraId="0239E631">
            <w:pPr>
              <w:pStyle w:val="34"/>
              <w:bidi w:val="0"/>
              <w:rPr>
                <w:rFonts w:hint="default"/>
                <w:highlight w:val="none"/>
              </w:rPr>
            </w:pPr>
            <w:r>
              <w:rPr>
                <w:rFonts w:hint="default"/>
                <w:highlight w:val="none"/>
                <w:lang w:val="en-US" w:eastAsia="zh-CN"/>
              </w:rPr>
              <w:t>0.78</w:t>
            </w:r>
          </w:p>
        </w:tc>
        <w:tc>
          <w:tcPr>
            <w:tcW w:w="1518" w:type="dxa"/>
            <w:shd w:val="clear" w:color="auto" w:fill="auto"/>
            <w:noWrap/>
            <w:vAlign w:val="center"/>
          </w:tcPr>
          <w:p w14:paraId="1016B657">
            <w:pPr>
              <w:pStyle w:val="34"/>
              <w:bidi w:val="0"/>
              <w:rPr>
                <w:rFonts w:hint="default"/>
                <w:highlight w:val="none"/>
              </w:rPr>
            </w:pPr>
          </w:p>
        </w:tc>
        <w:tc>
          <w:tcPr>
            <w:tcW w:w="903" w:type="dxa"/>
            <w:shd w:val="clear" w:color="auto" w:fill="auto"/>
            <w:noWrap/>
            <w:vAlign w:val="center"/>
          </w:tcPr>
          <w:p w14:paraId="6200D9CD">
            <w:pPr>
              <w:pStyle w:val="34"/>
              <w:bidi w:val="0"/>
              <w:rPr>
                <w:rFonts w:hint="default"/>
                <w:highlight w:val="none"/>
              </w:rPr>
            </w:pPr>
            <w:r>
              <w:rPr>
                <w:rFonts w:hint="default"/>
                <w:highlight w:val="none"/>
                <w:lang w:val="en-US" w:eastAsia="zh-CN"/>
              </w:rPr>
              <w:t>0.78</w:t>
            </w:r>
          </w:p>
        </w:tc>
      </w:tr>
      <w:tr w14:paraId="37146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4D0F9273">
            <w:pPr>
              <w:pStyle w:val="34"/>
              <w:bidi w:val="0"/>
              <w:rPr>
                <w:rFonts w:hint="eastAsia"/>
                <w:highlight w:val="none"/>
              </w:rPr>
            </w:pPr>
            <w:r>
              <w:rPr>
                <w:rFonts w:hint="eastAsia"/>
                <w:highlight w:val="none"/>
                <w:lang w:val="en-US" w:eastAsia="zh-CN"/>
              </w:rPr>
              <w:t>科研勘测设计费</w:t>
            </w:r>
          </w:p>
        </w:tc>
        <w:tc>
          <w:tcPr>
            <w:tcW w:w="1293" w:type="dxa"/>
            <w:shd w:val="clear" w:color="auto" w:fill="auto"/>
            <w:noWrap/>
            <w:vAlign w:val="center"/>
          </w:tcPr>
          <w:p w14:paraId="5B26AE6D">
            <w:pPr>
              <w:pStyle w:val="34"/>
              <w:bidi w:val="0"/>
              <w:rPr>
                <w:rFonts w:hint="default"/>
                <w:highlight w:val="none"/>
              </w:rPr>
            </w:pPr>
          </w:p>
        </w:tc>
        <w:tc>
          <w:tcPr>
            <w:tcW w:w="966" w:type="dxa"/>
            <w:shd w:val="clear" w:color="auto" w:fill="auto"/>
            <w:vAlign w:val="center"/>
          </w:tcPr>
          <w:p w14:paraId="700BB440">
            <w:pPr>
              <w:pStyle w:val="34"/>
              <w:bidi w:val="0"/>
              <w:rPr>
                <w:rFonts w:hint="default"/>
                <w:highlight w:val="none"/>
              </w:rPr>
            </w:pPr>
          </w:p>
        </w:tc>
        <w:tc>
          <w:tcPr>
            <w:tcW w:w="1116" w:type="dxa"/>
            <w:shd w:val="clear" w:color="auto" w:fill="auto"/>
            <w:noWrap/>
            <w:vAlign w:val="center"/>
          </w:tcPr>
          <w:p w14:paraId="7D6441D8">
            <w:pPr>
              <w:pStyle w:val="34"/>
              <w:bidi w:val="0"/>
              <w:rPr>
                <w:rFonts w:hint="default"/>
                <w:highlight w:val="none"/>
              </w:rPr>
            </w:pPr>
            <w:r>
              <w:rPr>
                <w:rFonts w:hint="default"/>
                <w:highlight w:val="none"/>
                <w:lang w:val="en-US" w:eastAsia="zh-CN"/>
              </w:rPr>
              <w:t>2.5</w:t>
            </w:r>
          </w:p>
        </w:tc>
        <w:tc>
          <w:tcPr>
            <w:tcW w:w="927" w:type="dxa"/>
            <w:shd w:val="clear" w:color="auto" w:fill="auto"/>
            <w:noWrap/>
            <w:vAlign w:val="center"/>
          </w:tcPr>
          <w:p w14:paraId="1796E568">
            <w:pPr>
              <w:pStyle w:val="34"/>
              <w:bidi w:val="0"/>
              <w:rPr>
                <w:rFonts w:hint="default"/>
                <w:highlight w:val="none"/>
              </w:rPr>
            </w:pPr>
            <w:r>
              <w:rPr>
                <w:rFonts w:hint="default"/>
                <w:highlight w:val="none"/>
                <w:lang w:val="en-US" w:eastAsia="zh-CN"/>
              </w:rPr>
              <w:t>2.5</w:t>
            </w:r>
          </w:p>
        </w:tc>
        <w:tc>
          <w:tcPr>
            <w:tcW w:w="1518" w:type="dxa"/>
            <w:shd w:val="clear" w:color="auto" w:fill="auto"/>
            <w:noWrap/>
            <w:vAlign w:val="center"/>
          </w:tcPr>
          <w:p w14:paraId="2C42203F">
            <w:pPr>
              <w:pStyle w:val="34"/>
              <w:bidi w:val="0"/>
              <w:rPr>
                <w:rFonts w:hint="default"/>
                <w:highlight w:val="none"/>
              </w:rPr>
            </w:pPr>
          </w:p>
        </w:tc>
        <w:tc>
          <w:tcPr>
            <w:tcW w:w="903" w:type="dxa"/>
            <w:shd w:val="clear" w:color="auto" w:fill="auto"/>
            <w:noWrap/>
            <w:vAlign w:val="center"/>
          </w:tcPr>
          <w:p w14:paraId="1BBAB79E">
            <w:pPr>
              <w:pStyle w:val="34"/>
              <w:bidi w:val="0"/>
              <w:rPr>
                <w:rFonts w:hint="default"/>
                <w:highlight w:val="none"/>
              </w:rPr>
            </w:pPr>
            <w:r>
              <w:rPr>
                <w:rFonts w:hint="default"/>
                <w:highlight w:val="none"/>
                <w:lang w:val="en-US" w:eastAsia="zh-CN"/>
              </w:rPr>
              <w:t>2.5</w:t>
            </w:r>
          </w:p>
        </w:tc>
      </w:tr>
      <w:tr w14:paraId="087F3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5FD07F76">
            <w:pPr>
              <w:pStyle w:val="34"/>
              <w:bidi w:val="0"/>
              <w:rPr>
                <w:rFonts w:hint="eastAsia"/>
                <w:highlight w:val="none"/>
              </w:rPr>
            </w:pPr>
            <w:r>
              <w:rPr>
                <w:rFonts w:hint="eastAsia"/>
                <w:highlight w:val="none"/>
                <w:lang w:val="en-US" w:eastAsia="zh-CN"/>
              </w:rPr>
              <w:t>水土保持监理费</w:t>
            </w:r>
          </w:p>
        </w:tc>
        <w:tc>
          <w:tcPr>
            <w:tcW w:w="1293" w:type="dxa"/>
            <w:shd w:val="clear" w:color="auto" w:fill="auto"/>
            <w:noWrap/>
            <w:vAlign w:val="center"/>
          </w:tcPr>
          <w:p w14:paraId="7A60BC0A">
            <w:pPr>
              <w:pStyle w:val="34"/>
              <w:bidi w:val="0"/>
              <w:rPr>
                <w:rFonts w:hint="default"/>
                <w:highlight w:val="none"/>
              </w:rPr>
            </w:pPr>
          </w:p>
        </w:tc>
        <w:tc>
          <w:tcPr>
            <w:tcW w:w="966" w:type="dxa"/>
            <w:shd w:val="clear" w:color="auto" w:fill="auto"/>
            <w:vAlign w:val="center"/>
          </w:tcPr>
          <w:p w14:paraId="48843627">
            <w:pPr>
              <w:pStyle w:val="34"/>
              <w:bidi w:val="0"/>
              <w:rPr>
                <w:rFonts w:hint="default"/>
                <w:highlight w:val="none"/>
              </w:rPr>
            </w:pPr>
          </w:p>
        </w:tc>
        <w:tc>
          <w:tcPr>
            <w:tcW w:w="1116" w:type="dxa"/>
            <w:shd w:val="clear" w:color="auto" w:fill="auto"/>
            <w:noWrap/>
            <w:vAlign w:val="center"/>
          </w:tcPr>
          <w:p w14:paraId="2828AEC0">
            <w:pPr>
              <w:pStyle w:val="34"/>
              <w:bidi w:val="0"/>
              <w:rPr>
                <w:rFonts w:hint="default"/>
                <w:highlight w:val="none"/>
              </w:rPr>
            </w:pPr>
            <w:r>
              <w:rPr>
                <w:rFonts w:hint="default"/>
                <w:highlight w:val="none"/>
                <w:lang w:val="en-US" w:eastAsia="zh-CN"/>
              </w:rPr>
              <w:t>0</w:t>
            </w:r>
          </w:p>
        </w:tc>
        <w:tc>
          <w:tcPr>
            <w:tcW w:w="927" w:type="dxa"/>
            <w:shd w:val="clear" w:color="auto" w:fill="auto"/>
            <w:noWrap/>
            <w:vAlign w:val="center"/>
          </w:tcPr>
          <w:p w14:paraId="6C3639F0">
            <w:pPr>
              <w:pStyle w:val="34"/>
              <w:bidi w:val="0"/>
              <w:rPr>
                <w:rFonts w:hint="default"/>
                <w:highlight w:val="none"/>
              </w:rPr>
            </w:pPr>
            <w:r>
              <w:rPr>
                <w:rFonts w:hint="default"/>
                <w:highlight w:val="none"/>
                <w:lang w:val="en-US" w:eastAsia="zh-CN"/>
              </w:rPr>
              <w:t>0</w:t>
            </w:r>
          </w:p>
        </w:tc>
        <w:tc>
          <w:tcPr>
            <w:tcW w:w="1518" w:type="dxa"/>
            <w:shd w:val="clear" w:color="auto" w:fill="auto"/>
            <w:noWrap/>
            <w:vAlign w:val="center"/>
          </w:tcPr>
          <w:p w14:paraId="4FE5070A">
            <w:pPr>
              <w:pStyle w:val="34"/>
              <w:bidi w:val="0"/>
              <w:rPr>
                <w:rFonts w:hint="default"/>
                <w:highlight w:val="none"/>
              </w:rPr>
            </w:pPr>
          </w:p>
        </w:tc>
        <w:tc>
          <w:tcPr>
            <w:tcW w:w="903" w:type="dxa"/>
            <w:shd w:val="clear" w:color="auto" w:fill="auto"/>
            <w:noWrap/>
            <w:vAlign w:val="center"/>
          </w:tcPr>
          <w:p w14:paraId="5D7A9788">
            <w:pPr>
              <w:pStyle w:val="34"/>
              <w:bidi w:val="0"/>
              <w:rPr>
                <w:rFonts w:hint="default"/>
                <w:highlight w:val="none"/>
              </w:rPr>
            </w:pPr>
            <w:r>
              <w:rPr>
                <w:rFonts w:hint="default"/>
                <w:highlight w:val="none"/>
                <w:lang w:val="en-US" w:eastAsia="zh-CN"/>
              </w:rPr>
              <w:t>0</w:t>
            </w:r>
          </w:p>
        </w:tc>
      </w:tr>
      <w:tr w14:paraId="09486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3D7657AF">
            <w:pPr>
              <w:pStyle w:val="34"/>
              <w:bidi w:val="0"/>
              <w:rPr>
                <w:rFonts w:hint="eastAsia"/>
                <w:highlight w:val="none"/>
              </w:rPr>
            </w:pPr>
            <w:r>
              <w:rPr>
                <w:rFonts w:hint="eastAsia"/>
                <w:highlight w:val="none"/>
                <w:lang w:val="en-US" w:eastAsia="zh-CN"/>
              </w:rPr>
              <w:t>水土保持设施验收费</w:t>
            </w:r>
          </w:p>
        </w:tc>
        <w:tc>
          <w:tcPr>
            <w:tcW w:w="1293" w:type="dxa"/>
            <w:shd w:val="clear" w:color="auto" w:fill="auto"/>
            <w:noWrap/>
            <w:vAlign w:val="center"/>
          </w:tcPr>
          <w:p w14:paraId="3DFDCF7E">
            <w:pPr>
              <w:pStyle w:val="34"/>
              <w:bidi w:val="0"/>
              <w:rPr>
                <w:rFonts w:hint="default"/>
                <w:highlight w:val="none"/>
              </w:rPr>
            </w:pPr>
          </w:p>
        </w:tc>
        <w:tc>
          <w:tcPr>
            <w:tcW w:w="966" w:type="dxa"/>
            <w:shd w:val="clear" w:color="auto" w:fill="auto"/>
            <w:vAlign w:val="center"/>
          </w:tcPr>
          <w:p w14:paraId="0F341A42">
            <w:pPr>
              <w:pStyle w:val="34"/>
              <w:bidi w:val="0"/>
              <w:rPr>
                <w:rFonts w:hint="default"/>
                <w:highlight w:val="none"/>
              </w:rPr>
            </w:pPr>
          </w:p>
        </w:tc>
        <w:tc>
          <w:tcPr>
            <w:tcW w:w="1116" w:type="dxa"/>
            <w:shd w:val="clear" w:color="auto" w:fill="auto"/>
            <w:noWrap/>
            <w:vAlign w:val="center"/>
          </w:tcPr>
          <w:p w14:paraId="228DF251">
            <w:pPr>
              <w:pStyle w:val="34"/>
              <w:bidi w:val="0"/>
              <w:rPr>
                <w:rFonts w:hint="default"/>
                <w:highlight w:val="none"/>
              </w:rPr>
            </w:pPr>
            <w:r>
              <w:rPr>
                <w:rFonts w:hint="default"/>
                <w:highlight w:val="none"/>
                <w:lang w:val="en-US" w:eastAsia="zh-CN"/>
              </w:rPr>
              <w:t>1.5</w:t>
            </w:r>
          </w:p>
        </w:tc>
        <w:tc>
          <w:tcPr>
            <w:tcW w:w="927" w:type="dxa"/>
            <w:shd w:val="clear" w:color="auto" w:fill="auto"/>
            <w:noWrap/>
            <w:vAlign w:val="center"/>
          </w:tcPr>
          <w:p w14:paraId="501C2E62">
            <w:pPr>
              <w:pStyle w:val="34"/>
              <w:bidi w:val="0"/>
              <w:rPr>
                <w:rFonts w:hint="default"/>
                <w:highlight w:val="none"/>
              </w:rPr>
            </w:pPr>
            <w:r>
              <w:rPr>
                <w:rFonts w:hint="default"/>
                <w:highlight w:val="none"/>
                <w:lang w:val="en-US" w:eastAsia="zh-CN"/>
              </w:rPr>
              <w:t>1.5</w:t>
            </w:r>
          </w:p>
        </w:tc>
        <w:tc>
          <w:tcPr>
            <w:tcW w:w="1518" w:type="dxa"/>
            <w:shd w:val="clear" w:color="auto" w:fill="auto"/>
            <w:noWrap/>
            <w:vAlign w:val="center"/>
          </w:tcPr>
          <w:p w14:paraId="1486F0F5">
            <w:pPr>
              <w:pStyle w:val="34"/>
              <w:bidi w:val="0"/>
              <w:rPr>
                <w:rFonts w:hint="default"/>
                <w:highlight w:val="none"/>
              </w:rPr>
            </w:pPr>
          </w:p>
        </w:tc>
        <w:tc>
          <w:tcPr>
            <w:tcW w:w="903" w:type="dxa"/>
            <w:shd w:val="clear" w:color="auto" w:fill="auto"/>
            <w:noWrap/>
            <w:vAlign w:val="center"/>
          </w:tcPr>
          <w:p w14:paraId="5AB8A095">
            <w:pPr>
              <w:pStyle w:val="34"/>
              <w:bidi w:val="0"/>
              <w:rPr>
                <w:rFonts w:hint="default"/>
                <w:highlight w:val="none"/>
              </w:rPr>
            </w:pPr>
            <w:r>
              <w:rPr>
                <w:rFonts w:hint="default"/>
                <w:highlight w:val="none"/>
                <w:lang w:val="en-US" w:eastAsia="zh-CN"/>
              </w:rPr>
              <w:t>1.5</w:t>
            </w:r>
          </w:p>
        </w:tc>
      </w:tr>
      <w:tr w14:paraId="00D69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6CCF08DB">
            <w:pPr>
              <w:pStyle w:val="34"/>
              <w:bidi w:val="0"/>
              <w:rPr>
                <w:rFonts w:hint="eastAsia"/>
                <w:highlight w:val="none"/>
              </w:rPr>
            </w:pPr>
            <w:r>
              <w:rPr>
                <w:rFonts w:hint="eastAsia"/>
                <w:highlight w:val="none"/>
                <w:lang w:val="en-US" w:eastAsia="zh-CN"/>
              </w:rPr>
              <w:t>经济技术咨询费</w:t>
            </w:r>
          </w:p>
        </w:tc>
        <w:tc>
          <w:tcPr>
            <w:tcW w:w="1293" w:type="dxa"/>
            <w:shd w:val="clear" w:color="auto" w:fill="auto"/>
            <w:noWrap/>
            <w:vAlign w:val="center"/>
          </w:tcPr>
          <w:p w14:paraId="0EA413D7">
            <w:pPr>
              <w:pStyle w:val="34"/>
              <w:bidi w:val="0"/>
              <w:rPr>
                <w:rFonts w:hint="default"/>
                <w:highlight w:val="none"/>
              </w:rPr>
            </w:pPr>
          </w:p>
        </w:tc>
        <w:tc>
          <w:tcPr>
            <w:tcW w:w="966" w:type="dxa"/>
            <w:shd w:val="clear" w:color="auto" w:fill="auto"/>
            <w:vAlign w:val="center"/>
          </w:tcPr>
          <w:p w14:paraId="0FC1F23A">
            <w:pPr>
              <w:pStyle w:val="34"/>
              <w:bidi w:val="0"/>
              <w:rPr>
                <w:rFonts w:hint="default"/>
                <w:highlight w:val="none"/>
              </w:rPr>
            </w:pPr>
          </w:p>
        </w:tc>
        <w:tc>
          <w:tcPr>
            <w:tcW w:w="1116" w:type="dxa"/>
            <w:shd w:val="clear" w:color="auto" w:fill="auto"/>
            <w:noWrap/>
            <w:vAlign w:val="center"/>
          </w:tcPr>
          <w:p w14:paraId="3259B60B">
            <w:pPr>
              <w:pStyle w:val="34"/>
              <w:bidi w:val="0"/>
              <w:rPr>
                <w:rFonts w:hint="default"/>
                <w:highlight w:val="none"/>
              </w:rPr>
            </w:pPr>
            <w:r>
              <w:rPr>
                <w:rFonts w:hint="default"/>
                <w:highlight w:val="none"/>
                <w:lang w:val="en-US" w:eastAsia="zh-CN"/>
              </w:rPr>
              <w:t>/</w:t>
            </w:r>
          </w:p>
        </w:tc>
        <w:tc>
          <w:tcPr>
            <w:tcW w:w="927" w:type="dxa"/>
            <w:shd w:val="clear" w:color="auto" w:fill="auto"/>
            <w:noWrap/>
            <w:vAlign w:val="center"/>
          </w:tcPr>
          <w:p w14:paraId="180E7DE6">
            <w:pPr>
              <w:pStyle w:val="34"/>
              <w:bidi w:val="0"/>
              <w:rPr>
                <w:rFonts w:hint="default"/>
                <w:highlight w:val="none"/>
              </w:rPr>
            </w:pPr>
            <w:r>
              <w:rPr>
                <w:rFonts w:hint="default"/>
                <w:highlight w:val="none"/>
                <w:lang w:val="en-US" w:eastAsia="zh-CN"/>
              </w:rPr>
              <w:t>/</w:t>
            </w:r>
          </w:p>
        </w:tc>
        <w:tc>
          <w:tcPr>
            <w:tcW w:w="1518" w:type="dxa"/>
            <w:shd w:val="clear" w:color="auto" w:fill="auto"/>
            <w:noWrap/>
            <w:vAlign w:val="center"/>
          </w:tcPr>
          <w:p w14:paraId="6062B3B6">
            <w:pPr>
              <w:pStyle w:val="34"/>
              <w:bidi w:val="0"/>
              <w:rPr>
                <w:rFonts w:hint="default"/>
                <w:highlight w:val="none"/>
              </w:rPr>
            </w:pPr>
          </w:p>
        </w:tc>
        <w:tc>
          <w:tcPr>
            <w:tcW w:w="903" w:type="dxa"/>
            <w:shd w:val="clear" w:color="auto" w:fill="auto"/>
            <w:noWrap/>
            <w:vAlign w:val="center"/>
          </w:tcPr>
          <w:p w14:paraId="363FD064">
            <w:pPr>
              <w:pStyle w:val="34"/>
              <w:bidi w:val="0"/>
              <w:rPr>
                <w:rFonts w:hint="default"/>
                <w:highlight w:val="none"/>
              </w:rPr>
            </w:pPr>
            <w:r>
              <w:rPr>
                <w:rFonts w:hint="default"/>
                <w:highlight w:val="none"/>
                <w:lang w:val="en-US" w:eastAsia="zh-CN"/>
              </w:rPr>
              <w:t>/</w:t>
            </w:r>
          </w:p>
        </w:tc>
      </w:tr>
      <w:tr w14:paraId="5F0EA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249380DD">
            <w:pPr>
              <w:pStyle w:val="34"/>
              <w:bidi w:val="0"/>
              <w:rPr>
                <w:rFonts w:hint="eastAsia"/>
                <w:highlight w:val="none"/>
              </w:rPr>
            </w:pPr>
            <w:r>
              <w:rPr>
                <w:rFonts w:hint="eastAsia"/>
                <w:highlight w:val="none"/>
                <w:lang w:val="en-US" w:eastAsia="zh-CN"/>
              </w:rPr>
              <w:t>一至三部分合计</w:t>
            </w:r>
          </w:p>
        </w:tc>
        <w:tc>
          <w:tcPr>
            <w:tcW w:w="1293" w:type="dxa"/>
            <w:shd w:val="clear" w:color="auto" w:fill="auto"/>
            <w:noWrap/>
            <w:vAlign w:val="center"/>
          </w:tcPr>
          <w:p w14:paraId="3BE8225A">
            <w:pPr>
              <w:pStyle w:val="34"/>
              <w:bidi w:val="0"/>
              <w:rPr>
                <w:rFonts w:hint="default"/>
                <w:b w:val="0"/>
                <w:bCs w:val="0"/>
                <w:highlight w:val="none"/>
              </w:rPr>
            </w:pPr>
            <w:r>
              <w:rPr>
                <w:rFonts w:hint="default"/>
                <w:b w:val="0"/>
                <w:bCs w:val="0"/>
                <w:highlight w:val="none"/>
                <w:lang w:val="en-US" w:eastAsia="zh-CN"/>
              </w:rPr>
              <w:t>39.03</w:t>
            </w:r>
          </w:p>
        </w:tc>
        <w:tc>
          <w:tcPr>
            <w:tcW w:w="966" w:type="dxa"/>
            <w:shd w:val="clear" w:color="auto" w:fill="auto"/>
            <w:noWrap/>
            <w:vAlign w:val="center"/>
          </w:tcPr>
          <w:p w14:paraId="1CADE6C4">
            <w:pPr>
              <w:pStyle w:val="34"/>
              <w:bidi w:val="0"/>
              <w:rPr>
                <w:rFonts w:hint="default"/>
                <w:b w:val="0"/>
                <w:bCs w:val="0"/>
                <w:highlight w:val="none"/>
              </w:rPr>
            </w:pPr>
          </w:p>
        </w:tc>
        <w:tc>
          <w:tcPr>
            <w:tcW w:w="1116" w:type="dxa"/>
            <w:shd w:val="clear" w:color="auto" w:fill="auto"/>
            <w:noWrap/>
            <w:vAlign w:val="center"/>
          </w:tcPr>
          <w:p w14:paraId="7074C839">
            <w:pPr>
              <w:pStyle w:val="34"/>
              <w:bidi w:val="0"/>
              <w:rPr>
                <w:rFonts w:hint="default"/>
                <w:b w:val="0"/>
                <w:bCs w:val="0"/>
                <w:highlight w:val="none"/>
              </w:rPr>
            </w:pPr>
            <w:r>
              <w:rPr>
                <w:rFonts w:hint="default"/>
                <w:b w:val="0"/>
                <w:bCs w:val="0"/>
                <w:highlight w:val="none"/>
                <w:lang w:val="en-US" w:eastAsia="zh-CN"/>
              </w:rPr>
              <w:t>4.78</w:t>
            </w:r>
          </w:p>
        </w:tc>
        <w:tc>
          <w:tcPr>
            <w:tcW w:w="927" w:type="dxa"/>
            <w:shd w:val="clear" w:color="auto" w:fill="auto"/>
            <w:noWrap/>
            <w:vAlign w:val="center"/>
          </w:tcPr>
          <w:p w14:paraId="0290336B">
            <w:pPr>
              <w:pStyle w:val="34"/>
              <w:bidi w:val="0"/>
              <w:rPr>
                <w:rFonts w:hint="default"/>
                <w:b w:val="0"/>
                <w:bCs w:val="0"/>
                <w:highlight w:val="none"/>
              </w:rPr>
            </w:pPr>
            <w:r>
              <w:rPr>
                <w:rFonts w:hint="default"/>
                <w:b w:val="0"/>
                <w:bCs w:val="0"/>
                <w:highlight w:val="none"/>
                <w:lang w:val="en-US" w:eastAsia="zh-CN"/>
              </w:rPr>
              <w:t>43.81</w:t>
            </w:r>
          </w:p>
        </w:tc>
        <w:tc>
          <w:tcPr>
            <w:tcW w:w="1518" w:type="dxa"/>
            <w:shd w:val="clear" w:color="auto" w:fill="auto"/>
            <w:noWrap/>
            <w:vAlign w:val="center"/>
          </w:tcPr>
          <w:p w14:paraId="45BAF988">
            <w:pPr>
              <w:pStyle w:val="34"/>
              <w:bidi w:val="0"/>
              <w:rPr>
                <w:rFonts w:hint="default"/>
                <w:b w:val="0"/>
                <w:bCs w:val="0"/>
                <w:highlight w:val="none"/>
              </w:rPr>
            </w:pPr>
            <w:r>
              <w:rPr>
                <w:rFonts w:hint="default"/>
                <w:b w:val="0"/>
                <w:bCs w:val="0"/>
                <w:highlight w:val="none"/>
                <w:lang w:val="en-US" w:eastAsia="zh-CN"/>
              </w:rPr>
              <w:t>46.39</w:t>
            </w:r>
          </w:p>
        </w:tc>
        <w:tc>
          <w:tcPr>
            <w:tcW w:w="903" w:type="dxa"/>
            <w:shd w:val="clear" w:color="auto" w:fill="auto"/>
            <w:noWrap/>
            <w:vAlign w:val="center"/>
          </w:tcPr>
          <w:p w14:paraId="6987E7BC">
            <w:pPr>
              <w:pStyle w:val="34"/>
              <w:bidi w:val="0"/>
              <w:rPr>
                <w:rFonts w:hint="default"/>
                <w:b/>
                <w:bCs/>
                <w:highlight w:val="none"/>
              </w:rPr>
            </w:pPr>
            <w:r>
              <w:rPr>
                <w:rFonts w:hint="default"/>
                <w:b/>
                <w:bCs/>
                <w:highlight w:val="none"/>
                <w:lang w:val="en-US" w:eastAsia="zh-CN"/>
              </w:rPr>
              <w:t>90.2</w:t>
            </w:r>
          </w:p>
        </w:tc>
      </w:tr>
      <w:tr w14:paraId="2FE7E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48CE7E95">
            <w:pPr>
              <w:pStyle w:val="34"/>
              <w:bidi w:val="0"/>
              <w:rPr>
                <w:rFonts w:hint="eastAsia"/>
                <w:highlight w:val="none"/>
              </w:rPr>
            </w:pPr>
            <w:r>
              <w:rPr>
                <w:rFonts w:hint="eastAsia"/>
                <w:highlight w:val="none"/>
                <w:lang w:val="en-US" w:eastAsia="zh-CN"/>
              </w:rPr>
              <w:t>基本预备费</w:t>
            </w:r>
          </w:p>
        </w:tc>
        <w:tc>
          <w:tcPr>
            <w:tcW w:w="1293" w:type="dxa"/>
            <w:shd w:val="clear" w:color="auto" w:fill="auto"/>
            <w:noWrap/>
            <w:vAlign w:val="center"/>
          </w:tcPr>
          <w:p w14:paraId="459A1712">
            <w:pPr>
              <w:pStyle w:val="34"/>
              <w:bidi w:val="0"/>
              <w:rPr>
                <w:rFonts w:hint="default"/>
                <w:highlight w:val="none"/>
              </w:rPr>
            </w:pPr>
          </w:p>
        </w:tc>
        <w:tc>
          <w:tcPr>
            <w:tcW w:w="966" w:type="dxa"/>
            <w:shd w:val="clear" w:color="auto" w:fill="auto"/>
            <w:vAlign w:val="center"/>
          </w:tcPr>
          <w:p w14:paraId="23F02BF2">
            <w:pPr>
              <w:pStyle w:val="34"/>
              <w:bidi w:val="0"/>
              <w:rPr>
                <w:rFonts w:hint="default"/>
                <w:highlight w:val="none"/>
              </w:rPr>
            </w:pPr>
          </w:p>
        </w:tc>
        <w:tc>
          <w:tcPr>
            <w:tcW w:w="1116" w:type="dxa"/>
            <w:shd w:val="clear" w:color="auto" w:fill="auto"/>
            <w:noWrap/>
            <w:vAlign w:val="center"/>
          </w:tcPr>
          <w:p w14:paraId="3C0931AF">
            <w:pPr>
              <w:pStyle w:val="34"/>
              <w:bidi w:val="0"/>
              <w:rPr>
                <w:rFonts w:hint="default"/>
                <w:highlight w:val="none"/>
              </w:rPr>
            </w:pPr>
          </w:p>
        </w:tc>
        <w:tc>
          <w:tcPr>
            <w:tcW w:w="927" w:type="dxa"/>
            <w:shd w:val="clear" w:color="auto" w:fill="auto"/>
            <w:noWrap/>
            <w:vAlign w:val="center"/>
          </w:tcPr>
          <w:p w14:paraId="207CA8BA">
            <w:pPr>
              <w:pStyle w:val="34"/>
              <w:bidi w:val="0"/>
              <w:rPr>
                <w:rFonts w:hint="default"/>
                <w:b/>
                <w:bCs/>
              </w:rPr>
            </w:pPr>
            <w:r>
              <w:rPr>
                <w:rFonts w:hint="default"/>
                <w:b/>
                <w:bCs/>
                <w:lang w:val="en-US" w:eastAsia="zh-CN"/>
              </w:rPr>
              <w:t xml:space="preserve">3.50 </w:t>
            </w:r>
          </w:p>
        </w:tc>
        <w:tc>
          <w:tcPr>
            <w:tcW w:w="1518" w:type="dxa"/>
            <w:shd w:val="clear" w:color="auto" w:fill="auto"/>
            <w:noWrap/>
            <w:vAlign w:val="center"/>
          </w:tcPr>
          <w:p w14:paraId="2DFEE13B">
            <w:pPr>
              <w:pStyle w:val="34"/>
              <w:bidi w:val="0"/>
              <w:rPr>
                <w:rFonts w:hint="default"/>
                <w:b/>
                <w:bCs/>
              </w:rPr>
            </w:pPr>
          </w:p>
        </w:tc>
        <w:tc>
          <w:tcPr>
            <w:tcW w:w="903" w:type="dxa"/>
            <w:shd w:val="clear" w:color="auto" w:fill="auto"/>
            <w:noWrap/>
            <w:vAlign w:val="center"/>
          </w:tcPr>
          <w:p w14:paraId="711A4269">
            <w:pPr>
              <w:pStyle w:val="34"/>
              <w:bidi w:val="0"/>
              <w:rPr>
                <w:rFonts w:hint="default"/>
                <w:b/>
                <w:bCs/>
              </w:rPr>
            </w:pPr>
            <w:r>
              <w:rPr>
                <w:rFonts w:hint="default"/>
                <w:b/>
                <w:bCs/>
                <w:lang w:val="en-US" w:eastAsia="zh-CN"/>
              </w:rPr>
              <w:t>3.5</w:t>
            </w:r>
          </w:p>
        </w:tc>
      </w:tr>
      <w:tr w14:paraId="5EC1D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789CB833">
            <w:pPr>
              <w:pStyle w:val="34"/>
              <w:bidi w:val="0"/>
              <w:rPr>
                <w:rFonts w:hint="eastAsia"/>
                <w:highlight w:val="none"/>
              </w:rPr>
            </w:pPr>
            <w:r>
              <w:rPr>
                <w:rFonts w:hint="eastAsia"/>
                <w:highlight w:val="none"/>
                <w:lang w:val="en-US" w:eastAsia="zh-CN"/>
              </w:rPr>
              <w:t>水土保持补偿费</w:t>
            </w:r>
          </w:p>
        </w:tc>
        <w:tc>
          <w:tcPr>
            <w:tcW w:w="1293" w:type="dxa"/>
            <w:shd w:val="clear" w:color="auto" w:fill="auto"/>
            <w:noWrap/>
            <w:vAlign w:val="center"/>
          </w:tcPr>
          <w:p w14:paraId="17D5A7BE">
            <w:pPr>
              <w:pStyle w:val="34"/>
              <w:bidi w:val="0"/>
              <w:rPr>
                <w:rFonts w:hint="default"/>
                <w:highlight w:val="none"/>
              </w:rPr>
            </w:pPr>
          </w:p>
        </w:tc>
        <w:tc>
          <w:tcPr>
            <w:tcW w:w="966" w:type="dxa"/>
            <w:shd w:val="clear" w:color="auto" w:fill="auto"/>
            <w:vAlign w:val="center"/>
          </w:tcPr>
          <w:p w14:paraId="1F80268F">
            <w:pPr>
              <w:pStyle w:val="34"/>
              <w:bidi w:val="0"/>
              <w:rPr>
                <w:rFonts w:hint="default"/>
                <w:highlight w:val="none"/>
              </w:rPr>
            </w:pPr>
          </w:p>
        </w:tc>
        <w:tc>
          <w:tcPr>
            <w:tcW w:w="1116" w:type="dxa"/>
            <w:shd w:val="clear" w:color="auto" w:fill="auto"/>
            <w:noWrap/>
            <w:vAlign w:val="center"/>
          </w:tcPr>
          <w:p w14:paraId="179BD7C4">
            <w:pPr>
              <w:pStyle w:val="34"/>
              <w:bidi w:val="0"/>
              <w:rPr>
                <w:rFonts w:hint="default"/>
                <w:highlight w:val="none"/>
              </w:rPr>
            </w:pPr>
          </w:p>
        </w:tc>
        <w:tc>
          <w:tcPr>
            <w:tcW w:w="927" w:type="dxa"/>
            <w:shd w:val="clear" w:color="auto" w:fill="auto"/>
            <w:noWrap/>
            <w:vAlign w:val="center"/>
          </w:tcPr>
          <w:p w14:paraId="2BEA20DD">
            <w:pPr>
              <w:pStyle w:val="34"/>
              <w:bidi w:val="0"/>
              <w:rPr>
                <w:rFonts w:hint="default"/>
                <w:b/>
                <w:bCs/>
              </w:rPr>
            </w:pPr>
            <w:r>
              <w:rPr>
                <w:rFonts w:hint="default"/>
                <w:b/>
                <w:bCs/>
                <w:lang w:val="en-US" w:eastAsia="zh-CN"/>
              </w:rPr>
              <w:t xml:space="preserve">4.761 </w:t>
            </w:r>
          </w:p>
        </w:tc>
        <w:tc>
          <w:tcPr>
            <w:tcW w:w="1518" w:type="dxa"/>
            <w:shd w:val="clear" w:color="auto" w:fill="auto"/>
            <w:noWrap/>
            <w:vAlign w:val="center"/>
          </w:tcPr>
          <w:p w14:paraId="3BCA2299">
            <w:pPr>
              <w:pStyle w:val="34"/>
              <w:bidi w:val="0"/>
              <w:rPr>
                <w:rFonts w:hint="default"/>
                <w:b/>
                <w:bCs/>
              </w:rPr>
            </w:pPr>
          </w:p>
        </w:tc>
        <w:tc>
          <w:tcPr>
            <w:tcW w:w="903" w:type="dxa"/>
            <w:shd w:val="clear" w:color="auto" w:fill="auto"/>
            <w:noWrap/>
            <w:vAlign w:val="center"/>
          </w:tcPr>
          <w:p w14:paraId="4A3B5F35">
            <w:pPr>
              <w:pStyle w:val="34"/>
              <w:bidi w:val="0"/>
              <w:rPr>
                <w:rFonts w:hint="default"/>
                <w:b/>
                <w:bCs/>
              </w:rPr>
            </w:pPr>
            <w:r>
              <w:rPr>
                <w:rFonts w:hint="default"/>
                <w:b/>
                <w:bCs/>
                <w:lang w:val="en-US" w:eastAsia="zh-CN"/>
              </w:rPr>
              <w:t>4.761</w:t>
            </w:r>
          </w:p>
        </w:tc>
      </w:tr>
      <w:tr w14:paraId="6B195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378" w:type="pct"/>
            <w:gridSpan w:val="2"/>
            <w:shd w:val="clear" w:color="auto" w:fill="auto"/>
            <w:vAlign w:val="center"/>
          </w:tcPr>
          <w:p w14:paraId="4BE94AC3">
            <w:pPr>
              <w:pStyle w:val="34"/>
              <w:bidi w:val="0"/>
              <w:rPr>
                <w:rFonts w:hint="eastAsia"/>
                <w:highlight w:val="none"/>
              </w:rPr>
            </w:pPr>
            <w:r>
              <w:rPr>
                <w:rFonts w:hint="eastAsia"/>
                <w:highlight w:val="none"/>
                <w:lang w:val="en-US" w:eastAsia="zh-CN"/>
              </w:rPr>
              <w:t>工程总投资</w:t>
            </w:r>
          </w:p>
        </w:tc>
        <w:tc>
          <w:tcPr>
            <w:tcW w:w="1293" w:type="dxa"/>
            <w:shd w:val="clear" w:color="auto" w:fill="auto"/>
            <w:noWrap/>
            <w:vAlign w:val="center"/>
          </w:tcPr>
          <w:p w14:paraId="57219A02">
            <w:pPr>
              <w:pStyle w:val="34"/>
              <w:bidi w:val="0"/>
              <w:rPr>
                <w:rFonts w:hint="default"/>
                <w:highlight w:val="none"/>
              </w:rPr>
            </w:pPr>
          </w:p>
        </w:tc>
        <w:tc>
          <w:tcPr>
            <w:tcW w:w="966" w:type="dxa"/>
            <w:shd w:val="clear" w:color="auto" w:fill="auto"/>
            <w:vAlign w:val="center"/>
          </w:tcPr>
          <w:p w14:paraId="26029944">
            <w:pPr>
              <w:pStyle w:val="34"/>
              <w:bidi w:val="0"/>
              <w:rPr>
                <w:rFonts w:hint="default"/>
                <w:highlight w:val="none"/>
              </w:rPr>
            </w:pPr>
          </w:p>
        </w:tc>
        <w:tc>
          <w:tcPr>
            <w:tcW w:w="1116" w:type="dxa"/>
            <w:shd w:val="clear" w:color="auto" w:fill="auto"/>
            <w:noWrap/>
            <w:vAlign w:val="center"/>
          </w:tcPr>
          <w:p w14:paraId="4F44A9F0">
            <w:pPr>
              <w:pStyle w:val="34"/>
              <w:bidi w:val="0"/>
              <w:rPr>
                <w:rFonts w:hint="default"/>
                <w:highlight w:val="none"/>
              </w:rPr>
            </w:pPr>
          </w:p>
        </w:tc>
        <w:tc>
          <w:tcPr>
            <w:tcW w:w="927" w:type="dxa"/>
            <w:shd w:val="clear" w:color="auto" w:fill="auto"/>
            <w:noWrap/>
            <w:vAlign w:val="center"/>
          </w:tcPr>
          <w:p w14:paraId="50F903D4">
            <w:pPr>
              <w:pStyle w:val="34"/>
              <w:bidi w:val="0"/>
              <w:rPr>
                <w:rFonts w:hint="default"/>
                <w:b/>
                <w:bCs/>
              </w:rPr>
            </w:pPr>
            <w:r>
              <w:rPr>
                <w:rFonts w:hint="default"/>
                <w:b/>
                <w:bCs/>
                <w:lang w:val="en-US" w:eastAsia="zh-CN"/>
              </w:rPr>
              <w:t xml:space="preserve">52.07 </w:t>
            </w:r>
          </w:p>
        </w:tc>
        <w:tc>
          <w:tcPr>
            <w:tcW w:w="1518" w:type="dxa"/>
            <w:shd w:val="clear" w:color="auto" w:fill="auto"/>
            <w:noWrap/>
            <w:vAlign w:val="center"/>
          </w:tcPr>
          <w:p w14:paraId="4F33C2C6">
            <w:pPr>
              <w:pStyle w:val="34"/>
              <w:bidi w:val="0"/>
              <w:rPr>
                <w:rFonts w:hint="default"/>
                <w:b/>
                <w:bCs/>
              </w:rPr>
            </w:pPr>
            <w:r>
              <w:rPr>
                <w:rFonts w:hint="default"/>
                <w:b/>
                <w:bCs/>
                <w:lang w:val="en-US" w:eastAsia="zh-CN"/>
              </w:rPr>
              <w:t>46.39</w:t>
            </w:r>
          </w:p>
        </w:tc>
        <w:tc>
          <w:tcPr>
            <w:tcW w:w="903" w:type="dxa"/>
            <w:shd w:val="clear" w:color="auto" w:fill="auto"/>
            <w:noWrap/>
            <w:vAlign w:val="center"/>
          </w:tcPr>
          <w:p w14:paraId="6817D1F6">
            <w:pPr>
              <w:pStyle w:val="34"/>
              <w:bidi w:val="0"/>
              <w:rPr>
                <w:rFonts w:hint="default"/>
                <w:b/>
                <w:bCs/>
              </w:rPr>
            </w:pPr>
            <w:r>
              <w:rPr>
                <w:rFonts w:hint="default"/>
                <w:b/>
                <w:bCs/>
                <w:lang w:val="en-US" w:eastAsia="zh-CN"/>
              </w:rPr>
              <w:t xml:space="preserve">98.46 </w:t>
            </w:r>
          </w:p>
        </w:tc>
      </w:tr>
    </w:tbl>
    <w:p w14:paraId="53BC69E8">
      <w:pPr>
        <w:pStyle w:val="23"/>
        <w:keepNext w:val="0"/>
        <w:keepLines w:val="0"/>
        <w:pageBreakBefore w:val="0"/>
        <w:kinsoku/>
        <w:wordWrap/>
        <w:overflowPunct/>
        <w:topLinePunct w:val="0"/>
        <w:autoSpaceDE/>
        <w:autoSpaceDN/>
        <w:bidi w:val="0"/>
        <w:adjustRightInd/>
        <w:snapToGrid/>
        <w:spacing w:after="0" w:line="240" w:lineRule="auto"/>
        <w:ind w:firstLine="0" w:firstLineChars="0"/>
        <w:jc w:val="center"/>
        <w:rPr>
          <w:rFonts w:hint="default" w:ascii="Times New Roman" w:hAnsi="Times New Roman" w:eastAsia="仿宋_GB2312" w:cs="Times New Roman"/>
          <w:color w:val="0000FF"/>
          <w:sz w:val="21"/>
          <w:szCs w:val="21"/>
        </w:rPr>
      </w:pPr>
    </w:p>
    <w:p w14:paraId="5B908410">
      <w:pPr>
        <w:pStyle w:val="35"/>
        <w:bidi w:val="0"/>
        <w:rPr>
          <w:color w:val="auto"/>
        </w:rPr>
      </w:pPr>
      <w:r>
        <w:rPr>
          <w:color w:val="auto"/>
        </w:rPr>
        <w:t>表7.1-4 主体已有水土保持措施投资表</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619"/>
        <w:gridCol w:w="1874"/>
        <w:gridCol w:w="1235"/>
        <w:gridCol w:w="1426"/>
        <w:gridCol w:w="1187"/>
        <w:gridCol w:w="1943"/>
      </w:tblGrid>
      <w:tr w14:paraId="70314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00" w:hRule="atLeast"/>
        </w:trPr>
        <w:tc>
          <w:tcPr>
            <w:tcW w:w="872" w:type="pct"/>
            <w:shd w:val="clear" w:color="auto" w:fill="auto"/>
            <w:noWrap/>
            <w:vAlign w:val="center"/>
          </w:tcPr>
          <w:p w14:paraId="3B94290C">
            <w:pPr>
              <w:pStyle w:val="34"/>
              <w:bidi w:val="0"/>
            </w:pPr>
            <w:r>
              <w:rPr>
                <w:rFonts w:hint="eastAsia"/>
                <w:lang w:val="en-US" w:eastAsia="zh-CN"/>
              </w:rPr>
              <w:t>编号</w:t>
            </w:r>
          </w:p>
        </w:tc>
        <w:tc>
          <w:tcPr>
            <w:tcW w:w="1008" w:type="pct"/>
            <w:shd w:val="clear" w:color="auto" w:fill="auto"/>
            <w:noWrap/>
            <w:vAlign w:val="center"/>
          </w:tcPr>
          <w:p w14:paraId="6C683E4E">
            <w:pPr>
              <w:pStyle w:val="34"/>
              <w:bidi w:val="0"/>
              <w:rPr>
                <w:rFonts w:hint="eastAsia"/>
              </w:rPr>
            </w:pPr>
            <w:r>
              <w:rPr>
                <w:rFonts w:hint="eastAsia"/>
                <w:lang w:val="en-US" w:eastAsia="zh-CN"/>
              </w:rPr>
              <w:t>工程或费用名称</w:t>
            </w:r>
          </w:p>
        </w:tc>
        <w:tc>
          <w:tcPr>
            <w:tcW w:w="665" w:type="pct"/>
            <w:shd w:val="clear" w:color="auto" w:fill="auto"/>
            <w:noWrap/>
            <w:vAlign w:val="center"/>
          </w:tcPr>
          <w:p w14:paraId="2F5A3339">
            <w:pPr>
              <w:pStyle w:val="34"/>
              <w:bidi w:val="0"/>
              <w:rPr>
                <w:rFonts w:hint="eastAsia"/>
              </w:rPr>
            </w:pPr>
            <w:r>
              <w:rPr>
                <w:rFonts w:hint="eastAsia"/>
                <w:lang w:val="en-US" w:eastAsia="zh-CN"/>
              </w:rPr>
              <w:t>单位</w:t>
            </w:r>
          </w:p>
        </w:tc>
        <w:tc>
          <w:tcPr>
            <w:tcW w:w="768" w:type="pct"/>
            <w:shd w:val="clear" w:color="auto" w:fill="auto"/>
            <w:noWrap/>
            <w:vAlign w:val="center"/>
          </w:tcPr>
          <w:p w14:paraId="2A7804A8">
            <w:pPr>
              <w:pStyle w:val="34"/>
              <w:bidi w:val="0"/>
              <w:rPr>
                <w:rFonts w:hint="eastAsia"/>
              </w:rPr>
            </w:pPr>
            <w:r>
              <w:rPr>
                <w:rFonts w:hint="eastAsia"/>
                <w:lang w:val="en-US" w:eastAsia="zh-CN"/>
              </w:rPr>
              <w:t>数量</w:t>
            </w:r>
          </w:p>
        </w:tc>
        <w:tc>
          <w:tcPr>
            <w:tcW w:w="639" w:type="pct"/>
            <w:shd w:val="clear" w:color="auto" w:fill="auto"/>
            <w:noWrap/>
            <w:vAlign w:val="center"/>
          </w:tcPr>
          <w:p w14:paraId="22CA5CBF">
            <w:pPr>
              <w:pStyle w:val="34"/>
              <w:bidi w:val="0"/>
              <w:rPr>
                <w:rFonts w:hint="eastAsia"/>
              </w:rPr>
            </w:pPr>
            <w:r>
              <w:rPr>
                <w:rFonts w:hint="eastAsia"/>
                <w:lang w:val="en-US" w:eastAsia="zh-CN"/>
              </w:rPr>
              <w:t>单价（元）</w:t>
            </w:r>
          </w:p>
        </w:tc>
        <w:tc>
          <w:tcPr>
            <w:tcW w:w="1045" w:type="pct"/>
            <w:shd w:val="clear" w:color="auto" w:fill="auto"/>
            <w:noWrap/>
            <w:vAlign w:val="center"/>
          </w:tcPr>
          <w:p w14:paraId="03435A74">
            <w:pPr>
              <w:pStyle w:val="34"/>
              <w:bidi w:val="0"/>
              <w:rPr>
                <w:rFonts w:hint="eastAsia"/>
              </w:rPr>
            </w:pPr>
            <w:r>
              <w:rPr>
                <w:rFonts w:hint="eastAsia"/>
                <w:lang w:val="en-US" w:eastAsia="zh-CN"/>
              </w:rPr>
              <w:t>总价（万元）</w:t>
            </w:r>
          </w:p>
        </w:tc>
      </w:tr>
      <w:tr w14:paraId="00224B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1881" w:type="pct"/>
            <w:gridSpan w:val="2"/>
            <w:shd w:val="clear" w:color="auto" w:fill="auto"/>
            <w:noWrap/>
            <w:vAlign w:val="center"/>
          </w:tcPr>
          <w:p w14:paraId="57B7AC9B">
            <w:pPr>
              <w:pStyle w:val="34"/>
              <w:bidi w:val="0"/>
              <w:rPr>
                <w:rFonts w:hint="eastAsia"/>
              </w:rPr>
            </w:pPr>
            <w:r>
              <w:rPr>
                <w:rFonts w:hint="eastAsia"/>
                <w:lang w:val="en-US" w:eastAsia="zh-CN"/>
              </w:rPr>
              <w:t>第一部分：工程措施</w:t>
            </w:r>
          </w:p>
        </w:tc>
        <w:tc>
          <w:tcPr>
            <w:tcW w:w="665" w:type="pct"/>
            <w:shd w:val="clear" w:color="auto" w:fill="auto"/>
            <w:noWrap/>
            <w:vAlign w:val="center"/>
          </w:tcPr>
          <w:p w14:paraId="7DD5C991">
            <w:pPr>
              <w:pStyle w:val="34"/>
              <w:bidi w:val="0"/>
              <w:rPr>
                <w:rFonts w:hint="default"/>
              </w:rPr>
            </w:pPr>
          </w:p>
        </w:tc>
        <w:tc>
          <w:tcPr>
            <w:tcW w:w="768" w:type="pct"/>
            <w:shd w:val="clear" w:color="auto" w:fill="auto"/>
            <w:noWrap/>
            <w:vAlign w:val="center"/>
          </w:tcPr>
          <w:p w14:paraId="4B15F552">
            <w:pPr>
              <w:pStyle w:val="34"/>
              <w:bidi w:val="0"/>
              <w:rPr>
                <w:rFonts w:hint="default"/>
              </w:rPr>
            </w:pPr>
          </w:p>
        </w:tc>
        <w:tc>
          <w:tcPr>
            <w:tcW w:w="639" w:type="pct"/>
            <w:shd w:val="clear" w:color="auto" w:fill="auto"/>
            <w:noWrap/>
            <w:vAlign w:val="center"/>
          </w:tcPr>
          <w:p w14:paraId="6C229F82">
            <w:pPr>
              <w:pStyle w:val="34"/>
              <w:bidi w:val="0"/>
              <w:rPr>
                <w:rFonts w:hint="default"/>
              </w:rPr>
            </w:pPr>
          </w:p>
        </w:tc>
        <w:tc>
          <w:tcPr>
            <w:tcW w:w="1045" w:type="pct"/>
            <w:shd w:val="clear" w:color="auto" w:fill="auto"/>
            <w:noWrap/>
            <w:vAlign w:val="center"/>
          </w:tcPr>
          <w:p w14:paraId="186866C8">
            <w:pPr>
              <w:pStyle w:val="34"/>
              <w:bidi w:val="0"/>
              <w:rPr>
                <w:rFonts w:hint="default"/>
              </w:rPr>
            </w:pPr>
            <w:r>
              <w:rPr>
                <w:rFonts w:hint="default"/>
                <w:lang w:val="en-US" w:eastAsia="zh-CN"/>
              </w:rPr>
              <w:t>46.39</w:t>
            </w:r>
          </w:p>
        </w:tc>
      </w:tr>
      <w:tr w14:paraId="2C7D6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872" w:type="pct"/>
            <w:shd w:val="clear" w:color="auto" w:fill="auto"/>
            <w:noWrap/>
            <w:vAlign w:val="center"/>
          </w:tcPr>
          <w:p w14:paraId="192CE18C">
            <w:pPr>
              <w:pStyle w:val="34"/>
              <w:bidi w:val="0"/>
              <w:rPr>
                <w:rFonts w:hint="eastAsia"/>
              </w:rPr>
            </w:pPr>
            <w:r>
              <w:rPr>
                <w:rFonts w:hint="eastAsia"/>
                <w:lang w:val="en-US" w:eastAsia="zh-CN"/>
              </w:rPr>
              <w:t>一</w:t>
            </w:r>
          </w:p>
        </w:tc>
        <w:tc>
          <w:tcPr>
            <w:tcW w:w="1008" w:type="pct"/>
            <w:shd w:val="clear" w:color="auto" w:fill="auto"/>
            <w:noWrap/>
            <w:vAlign w:val="center"/>
          </w:tcPr>
          <w:p w14:paraId="071F5FDD">
            <w:pPr>
              <w:pStyle w:val="34"/>
              <w:bidi w:val="0"/>
              <w:rPr>
                <w:rFonts w:hint="eastAsia"/>
              </w:rPr>
            </w:pPr>
            <w:r>
              <w:rPr>
                <w:rFonts w:hint="eastAsia"/>
                <w:lang w:val="en-US" w:eastAsia="zh-CN"/>
              </w:rPr>
              <w:t>建构筑物区</w:t>
            </w:r>
          </w:p>
        </w:tc>
        <w:tc>
          <w:tcPr>
            <w:tcW w:w="665" w:type="pct"/>
            <w:shd w:val="clear" w:color="auto" w:fill="auto"/>
            <w:noWrap/>
            <w:vAlign w:val="center"/>
          </w:tcPr>
          <w:p w14:paraId="6C196FFE">
            <w:pPr>
              <w:pStyle w:val="34"/>
              <w:bidi w:val="0"/>
              <w:rPr>
                <w:rFonts w:hint="default"/>
              </w:rPr>
            </w:pPr>
          </w:p>
        </w:tc>
        <w:tc>
          <w:tcPr>
            <w:tcW w:w="768" w:type="pct"/>
            <w:shd w:val="clear" w:color="auto" w:fill="auto"/>
            <w:noWrap/>
            <w:vAlign w:val="center"/>
          </w:tcPr>
          <w:p w14:paraId="0B562B03">
            <w:pPr>
              <w:pStyle w:val="34"/>
              <w:bidi w:val="0"/>
              <w:rPr>
                <w:rFonts w:hint="default"/>
              </w:rPr>
            </w:pPr>
          </w:p>
        </w:tc>
        <w:tc>
          <w:tcPr>
            <w:tcW w:w="639" w:type="pct"/>
            <w:shd w:val="clear" w:color="auto" w:fill="auto"/>
            <w:noWrap/>
            <w:vAlign w:val="center"/>
          </w:tcPr>
          <w:p w14:paraId="4D2A8E89">
            <w:pPr>
              <w:pStyle w:val="34"/>
              <w:bidi w:val="0"/>
              <w:rPr>
                <w:rFonts w:hint="default"/>
              </w:rPr>
            </w:pPr>
          </w:p>
        </w:tc>
        <w:tc>
          <w:tcPr>
            <w:tcW w:w="1045" w:type="pct"/>
            <w:shd w:val="clear" w:color="auto" w:fill="auto"/>
            <w:noWrap/>
            <w:vAlign w:val="center"/>
          </w:tcPr>
          <w:p w14:paraId="3B30A760">
            <w:pPr>
              <w:pStyle w:val="34"/>
              <w:bidi w:val="0"/>
              <w:rPr>
                <w:rFonts w:hint="default"/>
              </w:rPr>
            </w:pPr>
            <w:r>
              <w:rPr>
                <w:rFonts w:hint="default"/>
                <w:lang w:val="en-US" w:eastAsia="zh-CN"/>
              </w:rPr>
              <w:t xml:space="preserve">0.00 </w:t>
            </w:r>
          </w:p>
        </w:tc>
      </w:tr>
      <w:tr w14:paraId="66D12D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872" w:type="pct"/>
            <w:shd w:val="clear" w:color="auto" w:fill="auto"/>
            <w:noWrap/>
            <w:vAlign w:val="center"/>
          </w:tcPr>
          <w:p w14:paraId="503BF579">
            <w:pPr>
              <w:pStyle w:val="34"/>
              <w:bidi w:val="0"/>
              <w:rPr>
                <w:rFonts w:hint="eastAsia"/>
              </w:rPr>
            </w:pPr>
            <w:r>
              <w:rPr>
                <w:rFonts w:hint="eastAsia"/>
                <w:lang w:val="en-US" w:eastAsia="zh-CN"/>
              </w:rPr>
              <w:t>二</w:t>
            </w:r>
          </w:p>
        </w:tc>
        <w:tc>
          <w:tcPr>
            <w:tcW w:w="1008" w:type="pct"/>
            <w:shd w:val="clear" w:color="auto" w:fill="auto"/>
            <w:noWrap/>
            <w:vAlign w:val="center"/>
          </w:tcPr>
          <w:p w14:paraId="258E3802">
            <w:pPr>
              <w:pStyle w:val="34"/>
              <w:bidi w:val="0"/>
              <w:rPr>
                <w:rFonts w:hint="eastAsia"/>
              </w:rPr>
            </w:pPr>
            <w:r>
              <w:rPr>
                <w:rFonts w:hint="eastAsia"/>
                <w:lang w:val="en-US" w:eastAsia="zh-CN"/>
              </w:rPr>
              <w:t>道路硬化区</w:t>
            </w:r>
          </w:p>
        </w:tc>
        <w:tc>
          <w:tcPr>
            <w:tcW w:w="665" w:type="pct"/>
            <w:shd w:val="clear" w:color="auto" w:fill="auto"/>
            <w:noWrap/>
            <w:vAlign w:val="center"/>
          </w:tcPr>
          <w:p w14:paraId="663317A4">
            <w:pPr>
              <w:pStyle w:val="34"/>
              <w:bidi w:val="0"/>
              <w:rPr>
                <w:rFonts w:hint="default"/>
              </w:rPr>
            </w:pPr>
          </w:p>
        </w:tc>
        <w:tc>
          <w:tcPr>
            <w:tcW w:w="768" w:type="pct"/>
            <w:shd w:val="clear" w:color="auto" w:fill="auto"/>
            <w:noWrap/>
            <w:vAlign w:val="center"/>
          </w:tcPr>
          <w:p w14:paraId="4FC7E2DE">
            <w:pPr>
              <w:pStyle w:val="34"/>
              <w:bidi w:val="0"/>
              <w:rPr>
                <w:rFonts w:hint="default"/>
              </w:rPr>
            </w:pPr>
          </w:p>
        </w:tc>
        <w:tc>
          <w:tcPr>
            <w:tcW w:w="639" w:type="pct"/>
            <w:shd w:val="clear" w:color="auto" w:fill="auto"/>
            <w:noWrap/>
            <w:vAlign w:val="center"/>
          </w:tcPr>
          <w:p w14:paraId="6CEA185A">
            <w:pPr>
              <w:pStyle w:val="34"/>
              <w:bidi w:val="0"/>
              <w:rPr>
                <w:rFonts w:hint="default"/>
              </w:rPr>
            </w:pPr>
          </w:p>
        </w:tc>
        <w:tc>
          <w:tcPr>
            <w:tcW w:w="1045" w:type="pct"/>
            <w:shd w:val="clear" w:color="auto" w:fill="auto"/>
            <w:noWrap/>
            <w:vAlign w:val="center"/>
          </w:tcPr>
          <w:p w14:paraId="7C35CB85">
            <w:pPr>
              <w:pStyle w:val="34"/>
              <w:bidi w:val="0"/>
              <w:rPr>
                <w:rFonts w:hint="default"/>
              </w:rPr>
            </w:pPr>
            <w:r>
              <w:rPr>
                <w:rFonts w:hint="default"/>
                <w:lang w:val="en-US" w:eastAsia="zh-CN"/>
              </w:rPr>
              <w:t>46.39</w:t>
            </w:r>
          </w:p>
        </w:tc>
      </w:tr>
      <w:tr w14:paraId="2AE01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872" w:type="pct"/>
            <w:shd w:val="clear" w:color="auto" w:fill="auto"/>
            <w:noWrap/>
            <w:vAlign w:val="center"/>
          </w:tcPr>
          <w:p w14:paraId="3C12E683">
            <w:pPr>
              <w:pStyle w:val="34"/>
              <w:bidi w:val="0"/>
              <w:rPr>
                <w:rFonts w:hint="default"/>
              </w:rPr>
            </w:pPr>
            <w:r>
              <w:rPr>
                <w:rFonts w:hint="default"/>
                <w:lang w:val="en-US" w:eastAsia="zh-CN"/>
              </w:rPr>
              <w:t>1</w:t>
            </w:r>
          </w:p>
        </w:tc>
        <w:tc>
          <w:tcPr>
            <w:tcW w:w="1008" w:type="pct"/>
            <w:shd w:val="clear" w:color="auto" w:fill="auto"/>
            <w:noWrap/>
            <w:vAlign w:val="center"/>
          </w:tcPr>
          <w:p w14:paraId="6C1A013C">
            <w:pPr>
              <w:pStyle w:val="34"/>
              <w:bidi w:val="0"/>
              <w:rPr>
                <w:rFonts w:hint="eastAsia"/>
              </w:rPr>
            </w:pPr>
            <w:r>
              <w:rPr>
                <w:rFonts w:hint="eastAsia"/>
                <w:lang w:val="en-US" w:eastAsia="zh-CN"/>
              </w:rPr>
              <w:t>雨水管</w:t>
            </w:r>
          </w:p>
        </w:tc>
        <w:tc>
          <w:tcPr>
            <w:tcW w:w="665" w:type="pct"/>
            <w:shd w:val="clear" w:color="auto" w:fill="auto"/>
            <w:noWrap/>
            <w:vAlign w:val="center"/>
          </w:tcPr>
          <w:p w14:paraId="38187F43">
            <w:pPr>
              <w:pStyle w:val="34"/>
              <w:bidi w:val="0"/>
              <w:rPr>
                <w:rFonts w:hint="default"/>
              </w:rPr>
            </w:pPr>
            <w:r>
              <w:rPr>
                <w:rFonts w:hint="default"/>
                <w:lang w:val="en-US" w:eastAsia="zh-CN"/>
              </w:rPr>
              <w:t>m</w:t>
            </w:r>
          </w:p>
        </w:tc>
        <w:tc>
          <w:tcPr>
            <w:tcW w:w="768" w:type="pct"/>
            <w:shd w:val="clear" w:color="auto" w:fill="auto"/>
            <w:noWrap/>
            <w:vAlign w:val="center"/>
          </w:tcPr>
          <w:p w14:paraId="293C321E">
            <w:pPr>
              <w:pStyle w:val="34"/>
              <w:bidi w:val="0"/>
              <w:rPr>
                <w:rFonts w:hint="default"/>
              </w:rPr>
            </w:pPr>
            <w:r>
              <w:rPr>
                <w:rFonts w:hint="default"/>
                <w:lang w:val="en-US" w:eastAsia="zh-CN"/>
              </w:rPr>
              <w:t>1600</w:t>
            </w:r>
          </w:p>
        </w:tc>
        <w:tc>
          <w:tcPr>
            <w:tcW w:w="639" w:type="pct"/>
            <w:shd w:val="clear" w:color="auto" w:fill="auto"/>
            <w:noWrap/>
            <w:vAlign w:val="center"/>
          </w:tcPr>
          <w:p w14:paraId="3F47B71C">
            <w:pPr>
              <w:pStyle w:val="34"/>
              <w:bidi w:val="0"/>
              <w:rPr>
                <w:rFonts w:hint="default"/>
              </w:rPr>
            </w:pPr>
            <w:r>
              <w:rPr>
                <w:rFonts w:hint="default"/>
                <w:lang w:val="en-US" w:eastAsia="zh-CN"/>
              </w:rPr>
              <w:t>286</w:t>
            </w:r>
          </w:p>
        </w:tc>
        <w:tc>
          <w:tcPr>
            <w:tcW w:w="1045" w:type="pct"/>
            <w:shd w:val="clear" w:color="auto" w:fill="auto"/>
            <w:noWrap/>
            <w:vAlign w:val="center"/>
          </w:tcPr>
          <w:p w14:paraId="40A3AB19">
            <w:pPr>
              <w:pStyle w:val="34"/>
              <w:bidi w:val="0"/>
              <w:rPr>
                <w:rFonts w:hint="default"/>
              </w:rPr>
            </w:pPr>
            <w:r>
              <w:rPr>
                <w:rFonts w:hint="default"/>
                <w:lang w:val="en-US" w:eastAsia="zh-CN"/>
              </w:rPr>
              <w:t xml:space="preserve">45.76 </w:t>
            </w:r>
          </w:p>
        </w:tc>
      </w:tr>
      <w:tr w14:paraId="5B3089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70" w:hRule="atLeast"/>
        </w:trPr>
        <w:tc>
          <w:tcPr>
            <w:tcW w:w="872" w:type="pct"/>
            <w:shd w:val="clear" w:color="auto" w:fill="auto"/>
            <w:noWrap/>
            <w:vAlign w:val="center"/>
          </w:tcPr>
          <w:p w14:paraId="2C9F106C">
            <w:pPr>
              <w:pStyle w:val="34"/>
              <w:bidi w:val="0"/>
              <w:rPr>
                <w:rFonts w:hint="default"/>
              </w:rPr>
            </w:pPr>
            <w:r>
              <w:rPr>
                <w:rFonts w:hint="default"/>
                <w:lang w:val="en-US" w:eastAsia="zh-CN"/>
              </w:rPr>
              <w:t>2</w:t>
            </w:r>
          </w:p>
        </w:tc>
        <w:tc>
          <w:tcPr>
            <w:tcW w:w="1008" w:type="pct"/>
            <w:shd w:val="clear" w:color="auto" w:fill="auto"/>
            <w:noWrap/>
            <w:vAlign w:val="center"/>
          </w:tcPr>
          <w:p w14:paraId="2E24881D">
            <w:pPr>
              <w:pStyle w:val="34"/>
              <w:bidi w:val="0"/>
              <w:rPr>
                <w:rFonts w:hint="eastAsia"/>
              </w:rPr>
            </w:pPr>
            <w:r>
              <w:rPr>
                <w:rFonts w:hint="eastAsia"/>
                <w:lang w:val="en-US" w:eastAsia="zh-CN"/>
              </w:rPr>
              <w:t>单篦雨水口</w:t>
            </w:r>
          </w:p>
        </w:tc>
        <w:tc>
          <w:tcPr>
            <w:tcW w:w="665" w:type="pct"/>
            <w:shd w:val="clear" w:color="auto" w:fill="auto"/>
            <w:noWrap/>
            <w:vAlign w:val="center"/>
          </w:tcPr>
          <w:p w14:paraId="3B8B8167">
            <w:pPr>
              <w:pStyle w:val="34"/>
              <w:bidi w:val="0"/>
              <w:rPr>
                <w:rFonts w:hint="eastAsia"/>
              </w:rPr>
            </w:pPr>
            <w:r>
              <w:rPr>
                <w:rFonts w:hint="eastAsia"/>
                <w:lang w:val="en-US" w:eastAsia="zh-CN"/>
              </w:rPr>
              <w:t>口</w:t>
            </w:r>
          </w:p>
        </w:tc>
        <w:tc>
          <w:tcPr>
            <w:tcW w:w="768" w:type="pct"/>
            <w:shd w:val="clear" w:color="auto" w:fill="auto"/>
            <w:noWrap/>
            <w:vAlign w:val="center"/>
          </w:tcPr>
          <w:p w14:paraId="6B76A3B5">
            <w:pPr>
              <w:pStyle w:val="34"/>
              <w:bidi w:val="0"/>
              <w:rPr>
                <w:rFonts w:hint="default"/>
              </w:rPr>
            </w:pPr>
            <w:r>
              <w:rPr>
                <w:rFonts w:hint="default"/>
                <w:lang w:val="en-US" w:eastAsia="zh-CN"/>
              </w:rPr>
              <w:t>50</w:t>
            </w:r>
          </w:p>
        </w:tc>
        <w:tc>
          <w:tcPr>
            <w:tcW w:w="639" w:type="pct"/>
            <w:shd w:val="clear" w:color="auto" w:fill="auto"/>
            <w:noWrap/>
            <w:vAlign w:val="center"/>
          </w:tcPr>
          <w:p w14:paraId="47FA8606">
            <w:pPr>
              <w:pStyle w:val="34"/>
              <w:bidi w:val="0"/>
              <w:rPr>
                <w:rFonts w:hint="default"/>
              </w:rPr>
            </w:pPr>
            <w:r>
              <w:rPr>
                <w:rFonts w:hint="default"/>
                <w:lang w:val="en-US" w:eastAsia="zh-CN"/>
              </w:rPr>
              <w:t>125</w:t>
            </w:r>
          </w:p>
        </w:tc>
        <w:tc>
          <w:tcPr>
            <w:tcW w:w="1045" w:type="pct"/>
            <w:shd w:val="clear" w:color="auto" w:fill="auto"/>
            <w:noWrap/>
            <w:vAlign w:val="center"/>
          </w:tcPr>
          <w:p w14:paraId="2B782883">
            <w:pPr>
              <w:pStyle w:val="34"/>
              <w:bidi w:val="0"/>
              <w:rPr>
                <w:rFonts w:hint="default"/>
              </w:rPr>
            </w:pPr>
            <w:r>
              <w:rPr>
                <w:rFonts w:hint="default"/>
                <w:lang w:val="en-US" w:eastAsia="zh-CN"/>
              </w:rPr>
              <w:t xml:space="preserve">0.63 </w:t>
            </w:r>
          </w:p>
        </w:tc>
      </w:tr>
      <w:tr w14:paraId="704D4E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2546" w:type="pct"/>
            <w:gridSpan w:val="3"/>
            <w:shd w:val="clear" w:color="auto" w:fill="auto"/>
            <w:noWrap/>
            <w:vAlign w:val="center"/>
          </w:tcPr>
          <w:p w14:paraId="548C32C0">
            <w:pPr>
              <w:pStyle w:val="34"/>
              <w:bidi w:val="0"/>
              <w:rPr>
                <w:rFonts w:hint="eastAsia"/>
              </w:rPr>
            </w:pPr>
            <w:r>
              <w:rPr>
                <w:rFonts w:hint="eastAsia"/>
                <w:lang w:val="en-US" w:eastAsia="zh-CN"/>
              </w:rPr>
              <w:t>合计</w:t>
            </w:r>
          </w:p>
        </w:tc>
        <w:tc>
          <w:tcPr>
            <w:tcW w:w="2453" w:type="pct"/>
            <w:gridSpan w:val="3"/>
            <w:shd w:val="clear" w:color="auto" w:fill="auto"/>
            <w:noWrap/>
            <w:vAlign w:val="center"/>
          </w:tcPr>
          <w:p w14:paraId="749D3D1B">
            <w:pPr>
              <w:pStyle w:val="34"/>
              <w:bidi w:val="0"/>
              <w:rPr>
                <w:rFonts w:hint="default"/>
              </w:rPr>
            </w:pPr>
            <w:r>
              <w:rPr>
                <w:rFonts w:hint="default"/>
                <w:lang w:val="en-US" w:eastAsia="zh-CN"/>
              </w:rPr>
              <w:t>46.39</w:t>
            </w:r>
          </w:p>
        </w:tc>
      </w:tr>
    </w:tbl>
    <w:p w14:paraId="78841E47">
      <w:pPr>
        <w:pStyle w:val="23"/>
        <w:keepNext w:val="0"/>
        <w:keepLines w:val="0"/>
        <w:pageBreakBefore w:val="0"/>
        <w:kinsoku/>
        <w:wordWrap/>
        <w:overflowPunct/>
        <w:topLinePunct w:val="0"/>
        <w:autoSpaceDE/>
        <w:autoSpaceDN/>
        <w:bidi w:val="0"/>
        <w:adjustRightInd/>
        <w:snapToGrid/>
        <w:spacing w:after="0" w:line="240" w:lineRule="auto"/>
        <w:ind w:firstLine="0" w:firstLineChars="0"/>
        <w:jc w:val="center"/>
        <w:rPr>
          <w:rFonts w:hint="default" w:ascii="Times New Roman" w:hAnsi="Times New Roman" w:eastAsia="仿宋_GB2312" w:cs="Times New Roman"/>
          <w:color w:val="auto"/>
          <w:sz w:val="21"/>
          <w:szCs w:val="21"/>
        </w:rPr>
      </w:pPr>
    </w:p>
    <w:p w14:paraId="70CDE5A3">
      <w:pPr>
        <w:pStyle w:val="35"/>
        <w:bidi w:val="0"/>
        <w:rPr>
          <w:color w:val="auto"/>
        </w:rPr>
      </w:pPr>
      <w:r>
        <w:rPr>
          <w:color w:val="auto"/>
        </w:rPr>
        <w:t>表7.1-</w:t>
      </w:r>
      <w:r>
        <w:rPr>
          <w:rFonts w:hint="eastAsia"/>
          <w:color w:val="auto"/>
          <w:lang w:val="en-US" w:eastAsia="zh-CN"/>
        </w:rPr>
        <w:t>5</w:t>
      </w:r>
      <w:r>
        <w:rPr>
          <w:color w:val="auto"/>
        </w:rPr>
        <w:t xml:space="preserve"> 新增水保措施投资表</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657"/>
        <w:gridCol w:w="1696"/>
        <w:gridCol w:w="1265"/>
        <w:gridCol w:w="1460"/>
        <w:gridCol w:w="1215"/>
        <w:gridCol w:w="1991"/>
      </w:tblGrid>
      <w:tr w14:paraId="2131D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0" w:hRule="atLeast"/>
        </w:trPr>
        <w:tc>
          <w:tcPr>
            <w:tcW w:w="893" w:type="pct"/>
            <w:shd w:val="clear" w:color="auto" w:fill="auto"/>
            <w:vAlign w:val="center"/>
          </w:tcPr>
          <w:p w14:paraId="5C956698">
            <w:pPr>
              <w:pStyle w:val="34"/>
              <w:bidi w:val="0"/>
              <w:rPr>
                <w:color w:val="auto"/>
                <w:highlight w:val="none"/>
              </w:rPr>
            </w:pPr>
            <w:r>
              <w:rPr>
                <w:rFonts w:hint="eastAsia"/>
                <w:color w:val="auto"/>
                <w:highlight w:val="none"/>
                <w:lang w:val="en-US" w:eastAsia="zh-CN"/>
              </w:rPr>
              <w:t>编号</w:t>
            </w:r>
          </w:p>
        </w:tc>
        <w:tc>
          <w:tcPr>
            <w:tcW w:w="912" w:type="pct"/>
            <w:shd w:val="clear" w:color="auto" w:fill="auto"/>
            <w:vAlign w:val="center"/>
          </w:tcPr>
          <w:p w14:paraId="0660719E">
            <w:pPr>
              <w:pStyle w:val="34"/>
              <w:bidi w:val="0"/>
              <w:rPr>
                <w:rFonts w:hint="eastAsia"/>
                <w:color w:val="auto"/>
                <w:highlight w:val="none"/>
              </w:rPr>
            </w:pPr>
            <w:r>
              <w:rPr>
                <w:rFonts w:hint="eastAsia"/>
                <w:color w:val="auto"/>
                <w:highlight w:val="none"/>
                <w:lang w:val="en-US" w:eastAsia="zh-CN"/>
              </w:rPr>
              <w:t>工程或费用名称</w:t>
            </w:r>
          </w:p>
        </w:tc>
        <w:tc>
          <w:tcPr>
            <w:tcW w:w="681" w:type="pct"/>
            <w:shd w:val="clear" w:color="auto" w:fill="auto"/>
            <w:vAlign w:val="center"/>
          </w:tcPr>
          <w:p w14:paraId="05782EED">
            <w:pPr>
              <w:pStyle w:val="34"/>
              <w:bidi w:val="0"/>
              <w:rPr>
                <w:rFonts w:hint="eastAsia"/>
                <w:color w:val="auto"/>
                <w:highlight w:val="none"/>
              </w:rPr>
            </w:pPr>
            <w:r>
              <w:rPr>
                <w:rFonts w:hint="eastAsia"/>
                <w:color w:val="auto"/>
                <w:highlight w:val="none"/>
                <w:lang w:val="en-US" w:eastAsia="zh-CN"/>
              </w:rPr>
              <w:t>单位</w:t>
            </w:r>
          </w:p>
        </w:tc>
        <w:tc>
          <w:tcPr>
            <w:tcW w:w="786" w:type="pct"/>
            <w:shd w:val="clear" w:color="auto" w:fill="auto"/>
            <w:vAlign w:val="center"/>
          </w:tcPr>
          <w:p w14:paraId="2AD0C863">
            <w:pPr>
              <w:pStyle w:val="34"/>
              <w:bidi w:val="0"/>
              <w:rPr>
                <w:rFonts w:hint="eastAsia"/>
                <w:color w:val="auto"/>
                <w:highlight w:val="none"/>
              </w:rPr>
            </w:pPr>
            <w:r>
              <w:rPr>
                <w:rFonts w:hint="eastAsia"/>
                <w:color w:val="auto"/>
                <w:highlight w:val="none"/>
                <w:lang w:val="en-US" w:eastAsia="zh-CN"/>
              </w:rPr>
              <w:t>数量</w:t>
            </w:r>
          </w:p>
        </w:tc>
        <w:tc>
          <w:tcPr>
            <w:tcW w:w="654" w:type="pct"/>
            <w:shd w:val="clear" w:color="auto" w:fill="auto"/>
            <w:vAlign w:val="center"/>
          </w:tcPr>
          <w:p w14:paraId="09749216">
            <w:pPr>
              <w:pStyle w:val="34"/>
              <w:bidi w:val="0"/>
              <w:rPr>
                <w:rFonts w:hint="eastAsia"/>
                <w:color w:val="auto"/>
                <w:highlight w:val="none"/>
              </w:rPr>
            </w:pPr>
            <w:r>
              <w:rPr>
                <w:rFonts w:hint="eastAsia"/>
                <w:color w:val="auto"/>
                <w:highlight w:val="none"/>
                <w:lang w:val="en-US" w:eastAsia="zh-CN"/>
              </w:rPr>
              <w:t>单价（元）</w:t>
            </w:r>
          </w:p>
        </w:tc>
        <w:tc>
          <w:tcPr>
            <w:tcW w:w="1070" w:type="pct"/>
            <w:shd w:val="clear" w:color="auto" w:fill="auto"/>
            <w:vAlign w:val="center"/>
          </w:tcPr>
          <w:p w14:paraId="0BAD1A8F">
            <w:pPr>
              <w:pStyle w:val="34"/>
              <w:bidi w:val="0"/>
              <w:rPr>
                <w:rFonts w:hint="eastAsia"/>
                <w:color w:val="auto"/>
                <w:highlight w:val="none"/>
              </w:rPr>
            </w:pPr>
            <w:r>
              <w:rPr>
                <w:rFonts w:hint="eastAsia"/>
                <w:color w:val="auto"/>
                <w:highlight w:val="none"/>
                <w:lang w:val="en-US" w:eastAsia="zh-CN"/>
              </w:rPr>
              <w:t>总价（万元）</w:t>
            </w:r>
          </w:p>
        </w:tc>
      </w:tr>
      <w:tr w14:paraId="3B492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806" w:type="pct"/>
            <w:gridSpan w:val="2"/>
            <w:shd w:val="clear" w:color="auto" w:fill="auto"/>
            <w:vAlign w:val="center"/>
          </w:tcPr>
          <w:p w14:paraId="511603B3">
            <w:pPr>
              <w:pStyle w:val="34"/>
              <w:bidi w:val="0"/>
              <w:rPr>
                <w:rFonts w:hint="eastAsia"/>
                <w:highlight w:val="none"/>
              </w:rPr>
            </w:pPr>
            <w:r>
              <w:rPr>
                <w:rFonts w:hint="eastAsia"/>
                <w:highlight w:val="none"/>
                <w:lang w:val="en-US" w:eastAsia="zh-CN"/>
              </w:rPr>
              <w:t>第一部分：工程措施</w:t>
            </w:r>
          </w:p>
        </w:tc>
        <w:tc>
          <w:tcPr>
            <w:tcW w:w="681" w:type="pct"/>
            <w:shd w:val="clear" w:color="auto" w:fill="auto"/>
            <w:vAlign w:val="center"/>
          </w:tcPr>
          <w:p w14:paraId="18670B96">
            <w:pPr>
              <w:pStyle w:val="34"/>
              <w:bidi w:val="0"/>
              <w:rPr>
                <w:rFonts w:hint="default"/>
                <w:highlight w:val="none"/>
              </w:rPr>
            </w:pPr>
          </w:p>
        </w:tc>
        <w:tc>
          <w:tcPr>
            <w:tcW w:w="786" w:type="pct"/>
            <w:shd w:val="clear" w:color="auto" w:fill="auto"/>
            <w:vAlign w:val="center"/>
          </w:tcPr>
          <w:p w14:paraId="02270250">
            <w:pPr>
              <w:pStyle w:val="34"/>
              <w:bidi w:val="0"/>
              <w:rPr>
                <w:rFonts w:hint="default"/>
                <w:highlight w:val="none"/>
              </w:rPr>
            </w:pPr>
          </w:p>
        </w:tc>
        <w:tc>
          <w:tcPr>
            <w:tcW w:w="654" w:type="pct"/>
            <w:shd w:val="clear" w:color="auto" w:fill="auto"/>
            <w:vAlign w:val="center"/>
          </w:tcPr>
          <w:p w14:paraId="4818B866">
            <w:pPr>
              <w:pStyle w:val="34"/>
              <w:bidi w:val="0"/>
              <w:rPr>
                <w:rFonts w:hint="default"/>
                <w:highlight w:val="none"/>
              </w:rPr>
            </w:pPr>
          </w:p>
        </w:tc>
        <w:tc>
          <w:tcPr>
            <w:tcW w:w="1070" w:type="pct"/>
            <w:shd w:val="clear" w:color="auto" w:fill="auto"/>
            <w:vAlign w:val="center"/>
          </w:tcPr>
          <w:p w14:paraId="5032162C">
            <w:pPr>
              <w:pStyle w:val="34"/>
              <w:bidi w:val="0"/>
              <w:rPr>
                <w:rFonts w:hint="default"/>
                <w:highlight w:val="none"/>
              </w:rPr>
            </w:pPr>
            <w:r>
              <w:rPr>
                <w:rFonts w:hint="default"/>
                <w:highlight w:val="none"/>
                <w:lang w:val="en-US" w:eastAsia="zh-CN"/>
              </w:rPr>
              <w:t>0</w:t>
            </w:r>
          </w:p>
        </w:tc>
      </w:tr>
      <w:tr w14:paraId="2D785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1806" w:type="pct"/>
            <w:gridSpan w:val="2"/>
            <w:shd w:val="clear" w:color="auto" w:fill="auto"/>
            <w:vAlign w:val="center"/>
          </w:tcPr>
          <w:p w14:paraId="3A996400">
            <w:pPr>
              <w:pStyle w:val="34"/>
              <w:bidi w:val="0"/>
              <w:rPr>
                <w:rFonts w:hint="eastAsia"/>
                <w:highlight w:val="none"/>
              </w:rPr>
            </w:pPr>
            <w:r>
              <w:rPr>
                <w:rFonts w:hint="eastAsia"/>
                <w:highlight w:val="none"/>
                <w:lang w:val="en-US" w:eastAsia="zh-CN"/>
              </w:rPr>
              <w:t>第二部分：临时措施</w:t>
            </w:r>
          </w:p>
        </w:tc>
        <w:tc>
          <w:tcPr>
            <w:tcW w:w="681" w:type="pct"/>
            <w:shd w:val="clear" w:color="auto" w:fill="auto"/>
            <w:noWrap/>
            <w:vAlign w:val="center"/>
          </w:tcPr>
          <w:p w14:paraId="404A7817">
            <w:pPr>
              <w:pStyle w:val="34"/>
              <w:bidi w:val="0"/>
              <w:rPr>
                <w:rFonts w:hint="default"/>
                <w:highlight w:val="none"/>
              </w:rPr>
            </w:pPr>
          </w:p>
        </w:tc>
        <w:tc>
          <w:tcPr>
            <w:tcW w:w="786" w:type="pct"/>
            <w:shd w:val="clear" w:color="auto" w:fill="auto"/>
            <w:noWrap/>
            <w:vAlign w:val="center"/>
          </w:tcPr>
          <w:p w14:paraId="0CDF2146">
            <w:pPr>
              <w:pStyle w:val="34"/>
              <w:bidi w:val="0"/>
              <w:rPr>
                <w:rFonts w:hint="default"/>
                <w:highlight w:val="none"/>
              </w:rPr>
            </w:pPr>
          </w:p>
        </w:tc>
        <w:tc>
          <w:tcPr>
            <w:tcW w:w="654" w:type="pct"/>
            <w:shd w:val="clear" w:color="auto" w:fill="auto"/>
            <w:noWrap/>
            <w:vAlign w:val="center"/>
          </w:tcPr>
          <w:p w14:paraId="3C77B427">
            <w:pPr>
              <w:pStyle w:val="34"/>
              <w:bidi w:val="0"/>
              <w:rPr>
                <w:rFonts w:hint="default"/>
                <w:highlight w:val="none"/>
              </w:rPr>
            </w:pPr>
          </w:p>
        </w:tc>
        <w:tc>
          <w:tcPr>
            <w:tcW w:w="1070" w:type="pct"/>
            <w:shd w:val="clear" w:color="auto" w:fill="auto"/>
            <w:noWrap/>
            <w:vAlign w:val="center"/>
          </w:tcPr>
          <w:p w14:paraId="65789260">
            <w:pPr>
              <w:pStyle w:val="34"/>
              <w:bidi w:val="0"/>
              <w:rPr>
                <w:rFonts w:hint="default"/>
                <w:highlight w:val="none"/>
              </w:rPr>
            </w:pPr>
            <w:r>
              <w:rPr>
                <w:rFonts w:hint="default"/>
                <w:b/>
                <w:bCs/>
                <w:highlight w:val="none"/>
                <w:lang w:val="en-US" w:eastAsia="zh-CN"/>
              </w:rPr>
              <w:t>39.03</w:t>
            </w:r>
          </w:p>
        </w:tc>
      </w:tr>
      <w:tr w14:paraId="6CB63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vAlign w:val="center"/>
          </w:tcPr>
          <w:p w14:paraId="41F1889B">
            <w:pPr>
              <w:pStyle w:val="34"/>
              <w:bidi w:val="0"/>
              <w:rPr>
                <w:rFonts w:hint="eastAsia"/>
                <w:highlight w:val="none"/>
              </w:rPr>
            </w:pPr>
            <w:r>
              <w:rPr>
                <w:rFonts w:hint="eastAsia"/>
                <w:highlight w:val="none"/>
                <w:lang w:val="en-US" w:eastAsia="zh-CN"/>
              </w:rPr>
              <w:t>一</w:t>
            </w:r>
          </w:p>
        </w:tc>
        <w:tc>
          <w:tcPr>
            <w:tcW w:w="912" w:type="pct"/>
            <w:shd w:val="clear" w:color="auto" w:fill="auto"/>
            <w:vAlign w:val="center"/>
          </w:tcPr>
          <w:p w14:paraId="0ABAD9C5">
            <w:pPr>
              <w:pStyle w:val="34"/>
              <w:bidi w:val="0"/>
              <w:rPr>
                <w:rFonts w:hint="eastAsia"/>
                <w:highlight w:val="none"/>
              </w:rPr>
            </w:pPr>
            <w:r>
              <w:rPr>
                <w:rFonts w:hint="eastAsia"/>
                <w:highlight w:val="none"/>
                <w:lang w:val="en-US" w:eastAsia="zh-CN"/>
              </w:rPr>
              <w:t>临时防护措施</w:t>
            </w:r>
          </w:p>
        </w:tc>
        <w:tc>
          <w:tcPr>
            <w:tcW w:w="681" w:type="pct"/>
            <w:shd w:val="clear" w:color="auto" w:fill="auto"/>
            <w:noWrap/>
            <w:vAlign w:val="center"/>
          </w:tcPr>
          <w:p w14:paraId="558E1AFF">
            <w:pPr>
              <w:pStyle w:val="34"/>
              <w:bidi w:val="0"/>
              <w:rPr>
                <w:rFonts w:hint="default"/>
                <w:highlight w:val="none"/>
              </w:rPr>
            </w:pPr>
          </w:p>
        </w:tc>
        <w:tc>
          <w:tcPr>
            <w:tcW w:w="786" w:type="pct"/>
            <w:shd w:val="clear" w:color="auto" w:fill="auto"/>
            <w:noWrap/>
            <w:vAlign w:val="center"/>
          </w:tcPr>
          <w:p w14:paraId="5D1D9676">
            <w:pPr>
              <w:pStyle w:val="34"/>
              <w:bidi w:val="0"/>
              <w:rPr>
                <w:rFonts w:hint="default"/>
                <w:highlight w:val="none"/>
              </w:rPr>
            </w:pPr>
          </w:p>
        </w:tc>
        <w:tc>
          <w:tcPr>
            <w:tcW w:w="654" w:type="pct"/>
            <w:shd w:val="clear" w:color="auto" w:fill="auto"/>
            <w:noWrap/>
            <w:vAlign w:val="center"/>
          </w:tcPr>
          <w:p w14:paraId="48C3818F">
            <w:pPr>
              <w:pStyle w:val="34"/>
              <w:bidi w:val="0"/>
              <w:rPr>
                <w:rFonts w:hint="default"/>
                <w:highlight w:val="none"/>
              </w:rPr>
            </w:pPr>
          </w:p>
        </w:tc>
        <w:tc>
          <w:tcPr>
            <w:tcW w:w="1070" w:type="pct"/>
            <w:shd w:val="clear" w:color="auto" w:fill="auto"/>
            <w:noWrap/>
            <w:vAlign w:val="center"/>
          </w:tcPr>
          <w:p w14:paraId="5904862E">
            <w:pPr>
              <w:pStyle w:val="34"/>
              <w:bidi w:val="0"/>
              <w:rPr>
                <w:rFonts w:hint="default"/>
                <w:highlight w:val="none"/>
              </w:rPr>
            </w:pPr>
            <w:r>
              <w:rPr>
                <w:rFonts w:hint="default"/>
                <w:b/>
                <w:bCs/>
                <w:highlight w:val="none"/>
                <w:lang w:val="en-US" w:eastAsia="zh-CN"/>
              </w:rPr>
              <w:t>38.26</w:t>
            </w:r>
          </w:p>
        </w:tc>
      </w:tr>
      <w:tr w14:paraId="09DED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17F60A3E">
            <w:pPr>
              <w:pStyle w:val="34"/>
              <w:bidi w:val="0"/>
              <w:rPr>
                <w:rFonts w:hint="eastAsia"/>
                <w:highlight w:val="none"/>
              </w:rPr>
            </w:pPr>
            <w:r>
              <w:rPr>
                <w:rFonts w:hint="eastAsia"/>
                <w:highlight w:val="none"/>
                <w:lang w:val="en-US" w:eastAsia="zh-CN"/>
              </w:rPr>
              <w:t>（一）</w:t>
            </w:r>
          </w:p>
        </w:tc>
        <w:tc>
          <w:tcPr>
            <w:tcW w:w="912" w:type="pct"/>
            <w:shd w:val="clear" w:color="auto" w:fill="auto"/>
            <w:noWrap/>
            <w:vAlign w:val="center"/>
          </w:tcPr>
          <w:p w14:paraId="7D75B466">
            <w:pPr>
              <w:pStyle w:val="34"/>
              <w:bidi w:val="0"/>
              <w:rPr>
                <w:rFonts w:hint="eastAsia"/>
                <w:highlight w:val="none"/>
              </w:rPr>
            </w:pPr>
            <w:r>
              <w:rPr>
                <w:rFonts w:hint="eastAsia"/>
                <w:highlight w:val="none"/>
                <w:lang w:val="en-US" w:eastAsia="zh-CN"/>
              </w:rPr>
              <w:t>建构筑物区</w:t>
            </w:r>
          </w:p>
        </w:tc>
        <w:tc>
          <w:tcPr>
            <w:tcW w:w="681" w:type="pct"/>
            <w:shd w:val="clear" w:color="auto" w:fill="auto"/>
            <w:vAlign w:val="center"/>
          </w:tcPr>
          <w:p w14:paraId="0F877CF3">
            <w:pPr>
              <w:pStyle w:val="34"/>
              <w:bidi w:val="0"/>
              <w:rPr>
                <w:rFonts w:hint="default"/>
                <w:highlight w:val="none"/>
              </w:rPr>
            </w:pPr>
          </w:p>
        </w:tc>
        <w:tc>
          <w:tcPr>
            <w:tcW w:w="786" w:type="pct"/>
            <w:shd w:val="clear" w:color="auto" w:fill="auto"/>
            <w:noWrap/>
            <w:vAlign w:val="center"/>
          </w:tcPr>
          <w:p w14:paraId="0EEAEF2B">
            <w:pPr>
              <w:pStyle w:val="34"/>
              <w:bidi w:val="0"/>
              <w:rPr>
                <w:rFonts w:hint="default"/>
                <w:highlight w:val="none"/>
              </w:rPr>
            </w:pPr>
          </w:p>
        </w:tc>
        <w:tc>
          <w:tcPr>
            <w:tcW w:w="654" w:type="pct"/>
            <w:shd w:val="clear" w:color="auto" w:fill="auto"/>
            <w:noWrap/>
            <w:vAlign w:val="center"/>
          </w:tcPr>
          <w:p w14:paraId="482F878D">
            <w:pPr>
              <w:pStyle w:val="34"/>
              <w:bidi w:val="0"/>
              <w:rPr>
                <w:rFonts w:hint="default"/>
                <w:highlight w:val="none"/>
              </w:rPr>
            </w:pPr>
          </w:p>
        </w:tc>
        <w:tc>
          <w:tcPr>
            <w:tcW w:w="1070" w:type="pct"/>
            <w:shd w:val="clear" w:color="auto" w:fill="auto"/>
            <w:noWrap/>
            <w:vAlign w:val="center"/>
          </w:tcPr>
          <w:p w14:paraId="2D119445">
            <w:pPr>
              <w:pStyle w:val="34"/>
              <w:bidi w:val="0"/>
              <w:rPr>
                <w:rFonts w:hint="default"/>
                <w:highlight w:val="none"/>
              </w:rPr>
            </w:pPr>
            <w:r>
              <w:rPr>
                <w:rFonts w:hint="default"/>
                <w:highlight w:val="none"/>
                <w:lang w:val="en-US" w:eastAsia="zh-CN"/>
              </w:rPr>
              <w:t>13.8</w:t>
            </w:r>
          </w:p>
        </w:tc>
      </w:tr>
      <w:tr w14:paraId="27CB2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0AD9DBF8">
            <w:pPr>
              <w:pStyle w:val="34"/>
              <w:bidi w:val="0"/>
              <w:rPr>
                <w:rFonts w:hint="default"/>
                <w:highlight w:val="none"/>
              </w:rPr>
            </w:pPr>
            <w:r>
              <w:rPr>
                <w:rFonts w:hint="default"/>
                <w:highlight w:val="none"/>
                <w:lang w:val="en-US" w:eastAsia="zh-CN"/>
              </w:rPr>
              <w:t>1</w:t>
            </w:r>
          </w:p>
        </w:tc>
        <w:tc>
          <w:tcPr>
            <w:tcW w:w="912" w:type="pct"/>
            <w:shd w:val="clear" w:color="auto" w:fill="auto"/>
            <w:noWrap/>
            <w:vAlign w:val="center"/>
          </w:tcPr>
          <w:p w14:paraId="73A6A561">
            <w:pPr>
              <w:pStyle w:val="34"/>
              <w:bidi w:val="0"/>
              <w:rPr>
                <w:rFonts w:hint="eastAsia"/>
                <w:highlight w:val="none"/>
              </w:rPr>
            </w:pPr>
            <w:r>
              <w:rPr>
                <w:rFonts w:hint="eastAsia"/>
                <w:highlight w:val="none"/>
                <w:lang w:val="en-US" w:eastAsia="zh-CN"/>
              </w:rPr>
              <w:t>防雨布遮盖</w:t>
            </w:r>
          </w:p>
        </w:tc>
        <w:tc>
          <w:tcPr>
            <w:tcW w:w="681" w:type="pct"/>
            <w:shd w:val="clear" w:color="auto" w:fill="auto"/>
            <w:noWrap/>
            <w:vAlign w:val="center"/>
          </w:tcPr>
          <w:p w14:paraId="4CBF95B5">
            <w:pPr>
              <w:pStyle w:val="34"/>
              <w:bidi w:val="0"/>
              <w:rPr>
                <w:rFonts w:hint="default"/>
                <w:highlight w:val="none"/>
              </w:rPr>
            </w:pPr>
            <w:r>
              <w:rPr>
                <w:rFonts w:hint="default"/>
                <w:highlight w:val="none"/>
                <w:lang w:val="en-US" w:eastAsia="zh-CN"/>
              </w:rPr>
              <w:t>m²</w:t>
            </w:r>
          </w:p>
        </w:tc>
        <w:tc>
          <w:tcPr>
            <w:tcW w:w="786" w:type="pct"/>
            <w:shd w:val="clear" w:color="auto" w:fill="auto"/>
            <w:noWrap/>
            <w:vAlign w:val="center"/>
          </w:tcPr>
          <w:p w14:paraId="103B6B30">
            <w:pPr>
              <w:pStyle w:val="34"/>
              <w:bidi w:val="0"/>
              <w:rPr>
                <w:rFonts w:hint="default"/>
                <w:highlight w:val="none"/>
              </w:rPr>
            </w:pPr>
            <w:r>
              <w:rPr>
                <w:rFonts w:hint="default"/>
                <w:highlight w:val="none"/>
                <w:lang w:val="en-US" w:eastAsia="zh-CN"/>
              </w:rPr>
              <w:t>15000</w:t>
            </w:r>
          </w:p>
        </w:tc>
        <w:tc>
          <w:tcPr>
            <w:tcW w:w="654" w:type="pct"/>
            <w:shd w:val="clear" w:color="auto" w:fill="auto"/>
            <w:noWrap/>
            <w:vAlign w:val="center"/>
          </w:tcPr>
          <w:p w14:paraId="07A348CE">
            <w:pPr>
              <w:pStyle w:val="34"/>
              <w:bidi w:val="0"/>
              <w:rPr>
                <w:rFonts w:hint="default"/>
                <w:highlight w:val="none"/>
              </w:rPr>
            </w:pPr>
            <w:r>
              <w:rPr>
                <w:rFonts w:hint="default"/>
                <w:highlight w:val="none"/>
                <w:lang w:val="en-US" w:eastAsia="zh-CN"/>
              </w:rPr>
              <w:t>9.2</w:t>
            </w:r>
          </w:p>
        </w:tc>
        <w:tc>
          <w:tcPr>
            <w:tcW w:w="1070" w:type="pct"/>
            <w:shd w:val="clear" w:color="auto" w:fill="auto"/>
            <w:noWrap/>
            <w:vAlign w:val="center"/>
          </w:tcPr>
          <w:p w14:paraId="4E668B17">
            <w:pPr>
              <w:pStyle w:val="34"/>
              <w:bidi w:val="0"/>
              <w:rPr>
                <w:rFonts w:hint="default"/>
                <w:highlight w:val="none"/>
              </w:rPr>
            </w:pPr>
            <w:r>
              <w:rPr>
                <w:rFonts w:hint="default"/>
                <w:highlight w:val="none"/>
                <w:lang w:val="en-US" w:eastAsia="zh-CN"/>
              </w:rPr>
              <w:t>13.8</w:t>
            </w:r>
          </w:p>
        </w:tc>
      </w:tr>
      <w:tr w14:paraId="5CF4E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93" w:type="pct"/>
            <w:shd w:val="clear" w:color="auto" w:fill="auto"/>
            <w:noWrap/>
            <w:vAlign w:val="center"/>
          </w:tcPr>
          <w:p w14:paraId="10F13355">
            <w:pPr>
              <w:pStyle w:val="34"/>
              <w:bidi w:val="0"/>
              <w:rPr>
                <w:rFonts w:hint="eastAsia"/>
                <w:highlight w:val="none"/>
              </w:rPr>
            </w:pPr>
            <w:r>
              <w:rPr>
                <w:rFonts w:hint="eastAsia"/>
                <w:highlight w:val="none"/>
                <w:lang w:val="en-US" w:eastAsia="zh-CN"/>
              </w:rPr>
              <w:t>（二）</w:t>
            </w:r>
          </w:p>
        </w:tc>
        <w:tc>
          <w:tcPr>
            <w:tcW w:w="912" w:type="pct"/>
            <w:shd w:val="clear" w:color="auto" w:fill="auto"/>
            <w:vAlign w:val="center"/>
          </w:tcPr>
          <w:p w14:paraId="51DC018E">
            <w:pPr>
              <w:pStyle w:val="34"/>
              <w:bidi w:val="0"/>
              <w:rPr>
                <w:rFonts w:hint="eastAsia"/>
                <w:highlight w:val="none"/>
              </w:rPr>
            </w:pPr>
            <w:r>
              <w:rPr>
                <w:rFonts w:hint="eastAsia"/>
                <w:highlight w:val="none"/>
                <w:lang w:val="en-US" w:eastAsia="zh-CN"/>
              </w:rPr>
              <w:t>道路硬化区</w:t>
            </w:r>
          </w:p>
        </w:tc>
        <w:tc>
          <w:tcPr>
            <w:tcW w:w="681" w:type="pct"/>
            <w:shd w:val="clear" w:color="auto" w:fill="auto"/>
            <w:vAlign w:val="center"/>
          </w:tcPr>
          <w:p w14:paraId="65088D91">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3</w:t>
            </w:r>
          </w:p>
        </w:tc>
        <w:tc>
          <w:tcPr>
            <w:tcW w:w="786" w:type="pct"/>
            <w:shd w:val="clear" w:color="auto" w:fill="auto"/>
            <w:noWrap/>
            <w:vAlign w:val="center"/>
          </w:tcPr>
          <w:p w14:paraId="17BF7EDE">
            <w:pPr>
              <w:pStyle w:val="34"/>
              <w:bidi w:val="0"/>
              <w:rPr>
                <w:rFonts w:hint="default"/>
                <w:highlight w:val="none"/>
              </w:rPr>
            </w:pPr>
          </w:p>
        </w:tc>
        <w:tc>
          <w:tcPr>
            <w:tcW w:w="654" w:type="pct"/>
            <w:shd w:val="clear" w:color="auto" w:fill="auto"/>
            <w:noWrap/>
            <w:vAlign w:val="center"/>
          </w:tcPr>
          <w:p w14:paraId="0AEF7E5B">
            <w:pPr>
              <w:pStyle w:val="34"/>
              <w:bidi w:val="0"/>
              <w:rPr>
                <w:rFonts w:hint="default"/>
                <w:highlight w:val="none"/>
              </w:rPr>
            </w:pPr>
          </w:p>
        </w:tc>
        <w:tc>
          <w:tcPr>
            <w:tcW w:w="1070" w:type="pct"/>
            <w:shd w:val="clear" w:color="auto" w:fill="auto"/>
            <w:noWrap/>
            <w:vAlign w:val="center"/>
          </w:tcPr>
          <w:p w14:paraId="61E6EE32">
            <w:pPr>
              <w:pStyle w:val="34"/>
              <w:bidi w:val="0"/>
              <w:rPr>
                <w:rFonts w:hint="default"/>
                <w:highlight w:val="none"/>
              </w:rPr>
            </w:pPr>
            <w:r>
              <w:rPr>
                <w:rFonts w:hint="default"/>
                <w:highlight w:val="none"/>
                <w:lang w:val="en-US" w:eastAsia="zh-CN"/>
              </w:rPr>
              <w:t>24.46</w:t>
            </w:r>
          </w:p>
        </w:tc>
      </w:tr>
      <w:tr w14:paraId="02882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3E6067FB">
            <w:pPr>
              <w:pStyle w:val="34"/>
              <w:bidi w:val="0"/>
              <w:rPr>
                <w:rFonts w:hint="default"/>
                <w:highlight w:val="none"/>
              </w:rPr>
            </w:pPr>
            <w:r>
              <w:rPr>
                <w:rFonts w:hint="default"/>
                <w:highlight w:val="none"/>
                <w:lang w:val="en-US" w:eastAsia="zh-CN"/>
              </w:rPr>
              <w:t>1</w:t>
            </w:r>
          </w:p>
        </w:tc>
        <w:tc>
          <w:tcPr>
            <w:tcW w:w="912" w:type="pct"/>
            <w:shd w:val="clear" w:color="auto" w:fill="auto"/>
            <w:noWrap/>
            <w:vAlign w:val="center"/>
          </w:tcPr>
          <w:p w14:paraId="3AA058E0">
            <w:pPr>
              <w:pStyle w:val="34"/>
              <w:bidi w:val="0"/>
              <w:rPr>
                <w:rFonts w:hint="eastAsia"/>
                <w:highlight w:val="none"/>
              </w:rPr>
            </w:pPr>
            <w:r>
              <w:rPr>
                <w:rFonts w:hint="eastAsia"/>
                <w:highlight w:val="none"/>
                <w:lang w:val="en-US" w:eastAsia="zh-CN"/>
              </w:rPr>
              <w:t>洗车系统</w:t>
            </w:r>
          </w:p>
        </w:tc>
        <w:tc>
          <w:tcPr>
            <w:tcW w:w="681" w:type="pct"/>
            <w:shd w:val="clear" w:color="auto" w:fill="auto"/>
            <w:noWrap/>
            <w:vAlign w:val="center"/>
          </w:tcPr>
          <w:p w14:paraId="07BCBC45">
            <w:pPr>
              <w:pStyle w:val="34"/>
              <w:bidi w:val="0"/>
              <w:rPr>
                <w:rFonts w:hint="eastAsia"/>
                <w:highlight w:val="none"/>
              </w:rPr>
            </w:pPr>
            <w:r>
              <w:rPr>
                <w:rFonts w:hint="eastAsia"/>
                <w:highlight w:val="none"/>
                <w:lang w:val="en-US" w:eastAsia="zh-CN"/>
              </w:rPr>
              <w:t>座</w:t>
            </w:r>
          </w:p>
        </w:tc>
        <w:tc>
          <w:tcPr>
            <w:tcW w:w="786" w:type="pct"/>
            <w:shd w:val="clear" w:color="auto" w:fill="auto"/>
            <w:noWrap/>
            <w:vAlign w:val="center"/>
          </w:tcPr>
          <w:p w14:paraId="37465894">
            <w:pPr>
              <w:pStyle w:val="34"/>
              <w:bidi w:val="0"/>
              <w:rPr>
                <w:rFonts w:hint="default"/>
                <w:highlight w:val="none"/>
              </w:rPr>
            </w:pPr>
            <w:r>
              <w:rPr>
                <w:rFonts w:hint="default"/>
                <w:highlight w:val="none"/>
                <w:lang w:val="en-US" w:eastAsia="zh-CN"/>
              </w:rPr>
              <w:t>1</w:t>
            </w:r>
          </w:p>
        </w:tc>
        <w:tc>
          <w:tcPr>
            <w:tcW w:w="654" w:type="pct"/>
            <w:shd w:val="clear" w:color="auto" w:fill="auto"/>
            <w:noWrap/>
            <w:vAlign w:val="center"/>
          </w:tcPr>
          <w:p w14:paraId="338FBBBB">
            <w:pPr>
              <w:pStyle w:val="34"/>
              <w:bidi w:val="0"/>
              <w:rPr>
                <w:rFonts w:hint="default"/>
                <w:highlight w:val="none"/>
              </w:rPr>
            </w:pPr>
            <w:r>
              <w:rPr>
                <w:rFonts w:hint="default"/>
                <w:highlight w:val="none"/>
                <w:lang w:val="en-US" w:eastAsia="zh-CN"/>
              </w:rPr>
              <w:t>3500</w:t>
            </w:r>
          </w:p>
        </w:tc>
        <w:tc>
          <w:tcPr>
            <w:tcW w:w="1070" w:type="pct"/>
            <w:shd w:val="clear" w:color="auto" w:fill="auto"/>
            <w:noWrap/>
            <w:vAlign w:val="center"/>
          </w:tcPr>
          <w:p w14:paraId="12EDDD44">
            <w:pPr>
              <w:pStyle w:val="34"/>
              <w:bidi w:val="0"/>
              <w:rPr>
                <w:rFonts w:hint="default"/>
                <w:highlight w:val="none"/>
              </w:rPr>
            </w:pPr>
            <w:r>
              <w:rPr>
                <w:rFonts w:hint="default"/>
                <w:highlight w:val="none"/>
                <w:lang w:val="en-US" w:eastAsia="zh-CN"/>
              </w:rPr>
              <w:t>0.35</w:t>
            </w:r>
          </w:p>
        </w:tc>
      </w:tr>
      <w:tr w14:paraId="24E39D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30AE5E78">
            <w:pPr>
              <w:pStyle w:val="34"/>
              <w:bidi w:val="0"/>
              <w:rPr>
                <w:rFonts w:hint="default"/>
                <w:highlight w:val="none"/>
              </w:rPr>
            </w:pPr>
            <w:r>
              <w:rPr>
                <w:rFonts w:hint="default"/>
                <w:highlight w:val="none"/>
                <w:lang w:val="en-US" w:eastAsia="zh-CN"/>
              </w:rPr>
              <w:t>2</w:t>
            </w:r>
          </w:p>
        </w:tc>
        <w:tc>
          <w:tcPr>
            <w:tcW w:w="912" w:type="pct"/>
            <w:shd w:val="clear" w:color="auto" w:fill="auto"/>
            <w:noWrap/>
            <w:vAlign w:val="center"/>
          </w:tcPr>
          <w:p w14:paraId="4D1CA400">
            <w:pPr>
              <w:pStyle w:val="34"/>
              <w:bidi w:val="0"/>
              <w:rPr>
                <w:rFonts w:hint="eastAsia"/>
                <w:highlight w:val="none"/>
              </w:rPr>
            </w:pPr>
            <w:r>
              <w:rPr>
                <w:rFonts w:hint="eastAsia"/>
                <w:highlight w:val="none"/>
                <w:lang w:val="en-US" w:eastAsia="zh-CN"/>
              </w:rPr>
              <w:t>临时排水沟</w:t>
            </w:r>
          </w:p>
        </w:tc>
        <w:tc>
          <w:tcPr>
            <w:tcW w:w="681" w:type="pct"/>
            <w:shd w:val="clear" w:color="auto" w:fill="auto"/>
            <w:noWrap/>
            <w:vAlign w:val="center"/>
          </w:tcPr>
          <w:p w14:paraId="59935E4B">
            <w:pPr>
              <w:pStyle w:val="34"/>
              <w:bidi w:val="0"/>
              <w:rPr>
                <w:rFonts w:hint="default"/>
                <w:highlight w:val="none"/>
              </w:rPr>
            </w:pPr>
            <w:r>
              <w:rPr>
                <w:rFonts w:hint="default"/>
                <w:highlight w:val="none"/>
                <w:lang w:val="en-US" w:eastAsia="zh-CN"/>
              </w:rPr>
              <w:t>m</w:t>
            </w:r>
          </w:p>
        </w:tc>
        <w:tc>
          <w:tcPr>
            <w:tcW w:w="786" w:type="pct"/>
            <w:shd w:val="clear" w:color="auto" w:fill="auto"/>
            <w:noWrap/>
            <w:vAlign w:val="center"/>
          </w:tcPr>
          <w:p w14:paraId="416B0066">
            <w:pPr>
              <w:pStyle w:val="34"/>
              <w:bidi w:val="0"/>
              <w:rPr>
                <w:rFonts w:hint="default"/>
                <w:highlight w:val="none"/>
              </w:rPr>
            </w:pPr>
            <w:r>
              <w:rPr>
                <w:rFonts w:hint="default"/>
                <w:highlight w:val="none"/>
                <w:lang w:val="en-US" w:eastAsia="zh-CN"/>
              </w:rPr>
              <w:t>500</w:t>
            </w:r>
          </w:p>
        </w:tc>
        <w:tc>
          <w:tcPr>
            <w:tcW w:w="654" w:type="pct"/>
            <w:shd w:val="clear" w:color="auto" w:fill="auto"/>
            <w:noWrap/>
            <w:vAlign w:val="center"/>
          </w:tcPr>
          <w:p w14:paraId="46631FD1">
            <w:pPr>
              <w:pStyle w:val="34"/>
              <w:bidi w:val="0"/>
              <w:rPr>
                <w:rFonts w:hint="default"/>
                <w:highlight w:val="none"/>
              </w:rPr>
            </w:pPr>
          </w:p>
        </w:tc>
        <w:tc>
          <w:tcPr>
            <w:tcW w:w="1070" w:type="pct"/>
            <w:shd w:val="clear" w:color="auto" w:fill="auto"/>
            <w:noWrap/>
            <w:vAlign w:val="center"/>
          </w:tcPr>
          <w:p w14:paraId="1B293DBF">
            <w:pPr>
              <w:pStyle w:val="34"/>
              <w:bidi w:val="0"/>
              <w:rPr>
                <w:rFonts w:hint="default"/>
                <w:highlight w:val="none"/>
              </w:rPr>
            </w:pPr>
            <w:r>
              <w:rPr>
                <w:rFonts w:hint="default"/>
                <w:highlight w:val="none"/>
                <w:lang w:val="en-US" w:eastAsia="zh-CN"/>
              </w:rPr>
              <w:t>5.34</w:t>
            </w:r>
          </w:p>
        </w:tc>
      </w:tr>
      <w:tr w14:paraId="3168F7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02221F89">
            <w:pPr>
              <w:pStyle w:val="34"/>
              <w:bidi w:val="0"/>
              <w:rPr>
                <w:rFonts w:hint="default"/>
                <w:highlight w:val="none"/>
              </w:rPr>
            </w:pPr>
            <w:r>
              <w:rPr>
                <w:rFonts w:hint="default"/>
                <w:highlight w:val="none"/>
                <w:lang w:val="en-US" w:eastAsia="zh-CN"/>
              </w:rPr>
              <w:t>2.1</w:t>
            </w:r>
          </w:p>
        </w:tc>
        <w:tc>
          <w:tcPr>
            <w:tcW w:w="912" w:type="pct"/>
            <w:shd w:val="clear" w:color="auto" w:fill="auto"/>
            <w:noWrap/>
            <w:vAlign w:val="center"/>
          </w:tcPr>
          <w:p w14:paraId="10AFA017">
            <w:pPr>
              <w:pStyle w:val="34"/>
              <w:bidi w:val="0"/>
              <w:rPr>
                <w:rFonts w:hint="eastAsia"/>
                <w:highlight w:val="none"/>
              </w:rPr>
            </w:pPr>
            <w:r>
              <w:rPr>
                <w:rFonts w:hint="eastAsia"/>
                <w:highlight w:val="none"/>
                <w:lang w:val="en-US" w:eastAsia="zh-CN"/>
              </w:rPr>
              <w:t>沟槽开挖</w:t>
            </w:r>
          </w:p>
        </w:tc>
        <w:tc>
          <w:tcPr>
            <w:tcW w:w="681" w:type="pct"/>
            <w:shd w:val="clear" w:color="auto" w:fill="auto"/>
            <w:vAlign w:val="center"/>
          </w:tcPr>
          <w:p w14:paraId="1BD730CA">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3</w:t>
            </w:r>
          </w:p>
        </w:tc>
        <w:tc>
          <w:tcPr>
            <w:tcW w:w="786" w:type="pct"/>
            <w:shd w:val="clear" w:color="auto" w:fill="auto"/>
            <w:noWrap/>
            <w:vAlign w:val="center"/>
          </w:tcPr>
          <w:p w14:paraId="2E3FC333">
            <w:pPr>
              <w:pStyle w:val="34"/>
              <w:bidi w:val="0"/>
              <w:rPr>
                <w:rFonts w:hint="default"/>
                <w:highlight w:val="none"/>
              </w:rPr>
            </w:pPr>
            <w:r>
              <w:rPr>
                <w:rFonts w:hint="default"/>
                <w:highlight w:val="none"/>
                <w:lang w:val="en-US" w:eastAsia="zh-CN"/>
              </w:rPr>
              <w:t xml:space="preserve">192.00 </w:t>
            </w:r>
          </w:p>
        </w:tc>
        <w:tc>
          <w:tcPr>
            <w:tcW w:w="654" w:type="pct"/>
            <w:shd w:val="clear" w:color="auto" w:fill="auto"/>
            <w:noWrap/>
            <w:vAlign w:val="center"/>
          </w:tcPr>
          <w:p w14:paraId="4781EA23">
            <w:pPr>
              <w:pStyle w:val="34"/>
              <w:bidi w:val="0"/>
              <w:rPr>
                <w:rFonts w:hint="default"/>
                <w:highlight w:val="none"/>
              </w:rPr>
            </w:pPr>
            <w:r>
              <w:rPr>
                <w:rFonts w:hint="default"/>
                <w:highlight w:val="none"/>
                <w:lang w:val="en-US" w:eastAsia="zh-CN"/>
              </w:rPr>
              <w:t>33.67</w:t>
            </w:r>
          </w:p>
        </w:tc>
        <w:tc>
          <w:tcPr>
            <w:tcW w:w="1070" w:type="pct"/>
            <w:shd w:val="clear" w:color="auto" w:fill="auto"/>
            <w:noWrap/>
            <w:vAlign w:val="center"/>
          </w:tcPr>
          <w:p w14:paraId="6695FFE1">
            <w:pPr>
              <w:pStyle w:val="34"/>
              <w:bidi w:val="0"/>
              <w:rPr>
                <w:rFonts w:hint="default"/>
                <w:highlight w:val="none"/>
              </w:rPr>
            </w:pPr>
            <w:r>
              <w:rPr>
                <w:rFonts w:hint="default"/>
                <w:highlight w:val="none"/>
                <w:lang w:val="en-US" w:eastAsia="zh-CN"/>
              </w:rPr>
              <w:t xml:space="preserve">0.65 </w:t>
            </w:r>
          </w:p>
        </w:tc>
      </w:tr>
      <w:tr w14:paraId="01AD0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6B9B2654">
            <w:pPr>
              <w:pStyle w:val="34"/>
              <w:bidi w:val="0"/>
              <w:rPr>
                <w:rFonts w:hint="default"/>
                <w:highlight w:val="none"/>
              </w:rPr>
            </w:pPr>
            <w:r>
              <w:rPr>
                <w:rFonts w:hint="default"/>
                <w:highlight w:val="none"/>
                <w:lang w:val="en-US" w:eastAsia="zh-CN"/>
              </w:rPr>
              <w:t>2.2</w:t>
            </w:r>
          </w:p>
        </w:tc>
        <w:tc>
          <w:tcPr>
            <w:tcW w:w="912" w:type="pct"/>
            <w:shd w:val="clear" w:color="auto" w:fill="auto"/>
            <w:noWrap/>
            <w:vAlign w:val="center"/>
          </w:tcPr>
          <w:p w14:paraId="7B437BB3">
            <w:pPr>
              <w:pStyle w:val="34"/>
              <w:bidi w:val="0"/>
              <w:rPr>
                <w:rFonts w:hint="default"/>
                <w:highlight w:val="none"/>
              </w:rPr>
            </w:pPr>
            <w:r>
              <w:rPr>
                <w:rFonts w:hint="default"/>
                <w:highlight w:val="none"/>
                <w:lang w:val="en-US" w:eastAsia="zh-CN"/>
              </w:rPr>
              <w:t>M7.5</w:t>
            </w:r>
            <w:r>
              <w:rPr>
                <w:rFonts w:hint="eastAsia"/>
                <w:highlight w:val="none"/>
                <w:lang w:val="en-US" w:eastAsia="zh-CN"/>
              </w:rPr>
              <w:t>砖砌</w:t>
            </w:r>
          </w:p>
        </w:tc>
        <w:tc>
          <w:tcPr>
            <w:tcW w:w="681" w:type="pct"/>
            <w:shd w:val="clear" w:color="auto" w:fill="auto"/>
            <w:vAlign w:val="center"/>
          </w:tcPr>
          <w:p w14:paraId="6B4E1A2C">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3</w:t>
            </w:r>
          </w:p>
        </w:tc>
        <w:tc>
          <w:tcPr>
            <w:tcW w:w="786" w:type="pct"/>
            <w:shd w:val="clear" w:color="auto" w:fill="auto"/>
            <w:noWrap/>
            <w:vAlign w:val="center"/>
          </w:tcPr>
          <w:p w14:paraId="1C5EBC86">
            <w:pPr>
              <w:pStyle w:val="34"/>
              <w:bidi w:val="0"/>
              <w:rPr>
                <w:rFonts w:hint="default"/>
                <w:highlight w:val="none"/>
              </w:rPr>
            </w:pPr>
            <w:r>
              <w:rPr>
                <w:rFonts w:hint="default"/>
                <w:highlight w:val="none"/>
                <w:lang w:val="en-US" w:eastAsia="zh-CN"/>
              </w:rPr>
              <w:t xml:space="preserve">36.01 </w:t>
            </w:r>
          </w:p>
        </w:tc>
        <w:tc>
          <w:tcPr>
            <w:tcW w:w="654" w:type="pct"/>
            <w:shd w:val="clear" w:color="auto" w:fill="auto"/>
            <w:noWrap/>
            <w:vAlign w:val="center"/>
          </w:tcPr>
          <w:p w14:paraId="77D3AB96">
            <w:pPr>
              <w:pStyle w:val="34"/>
              <w:bidi w:val="0"/>
              <w:rPr>
                <w:rFonts w:hint="default"/>
                <w:highlight w:val="none"/>
              </w:rPr>
            </w:pPr>
            <w:r>
              <w:rPr>
                <w:rFonts w:hint="default"/>
                <w:highlight w:val="none"/>
                <w:lang w:val="en-US" w:eastAsia="zh-CN"/>
              </w:rPr>
              <w:t>595.61</w:t>
            </w:r>
          </w:p>
        </w:tc>
        <w:tc>
          <w:tcPr>
            <w:tcW w:w="1070" w:type="pct"/>
            <w:shd w:val="clear" w:color="auto" w:fill="auto"/>
            <w:noWrap/>
            <w:vAlign w:val="center"/>
          </w:tcPr>
          <w:p w14:paraId="1358B5E4">
            <w:pPr>
              <w:pStyle w:val="34"/>
              <w:bidi w:val="0"/>
              <w:rPr>
                <w:rFonts w:hint="default"/>
                <w:highlight w:val="none"/>
              </w:rPr>
            </w:pPr>
            <w:r>
              <w:rPr>
                <w:rFonts w:hint="default"/>
                <w:highlight w:val="none"/>
                <w:lang w:val="en-US" w:eastAsia="zh-CN"/>
              </w:rPr>
              <w:t xml:space="preserve">2.14 </w:t>
            </w:r>
          </w:p>
        </w:tc>
      </w:tr>
      <w:tr w14:paraId="0FF0E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25489C19">
            <w:pPr>
              <w:pStyle w:val="34"/>
              <w:bidi w:val="0"/>
              <w:rPr>
                <w:rFonts w:hint="default"/>
                <w:highlight w:val="none"/>
              </w:rPr>
            </w:pPr>
            <w:r>
              <w:rPr>
                <w:rFonts w:hint="default"/>
                <w:highlight w:val="none"/>
                <w:lang w:val="en-US" w:eastAsia="zh-CN"/>
              </w:rPr>
              <w:t>2.3</w:t>
            </w:r>
          </w:p>
        </w:tc>
        <w:tc>
          <w:tcPr>
            <w:tcW w:w="912" w:type="pct"/>
            <w:shd w:val="clear" w:color="auto" w:fill="auto"/>
            <w:noWrap/>
            <w:vAlign w:val="center"/>
          </w:tcPr>
          <w:p w14:paraId="3A06EDF4">
            <w:pPr>
              <w:pStyle w:val="34"/>
              <w:bidi w:val="0"/>
              <w:rPr>
                <w:rFonts w:hint="default"/>
                <w:highlight w:val="none"/>
              </w:rPr>
            </w:pPr>
            <w:r>
              <w:rPr>
                <w:rFonts w:hint="default"/>
                <w:highlight w:val="none"/>
                <w:lang w:val="en-US" w:eastAsia="zh-CN"/>
              </w:rPr>
              <w:t>C10</w:t>
            </w:r>
            <w:r>
              <w:rPr>
                <w:rFonts w:hint="eastAsia"/>
                <w:highlight w:val="none"/>
                <w:lang w:val="en-US" w:eastAsia="zh-CN"/>
              </w:rPr>
              <w:t>浇底</w:t>
            </w:r>
          </w:p>
        </w:tc>
        <w:tc>
          <w:tcPr>
            <w:tcW w:w="681" w:type="pct"/>
            <w:shd w:val="clear" w:color="auto" w:fill="auto"/>
            <w:vAlign w:val="center"/>
          </w:tcPr>
          <w:p w14:paraId="6870CC31">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3</w:t>
            </w:r>
          </w:p>
        </w:tc>
        <w:tc>
          <w:tcPr>
            <w:tcW w:w="786" w:type="pct"/>
            <w:shd w:val="clear" w:color="auto" w:fill="auto"/>
            <w:noWrap/>
            <w:vAlign w:val="center"/>
          </w:tcPr>
          <w:p w14:paraId="6A9353AC">
            <w:pPr>
              <w:pStyle w:val="34"/>
              <w:bidi w:val="0"/>
              <w:rPr>
                <w:rFonts w:hint="default"/>
                <w:highlight w:val="none"/>
              </w:rPr>
            </w:pPr>
            <w:r>
              <w:rPr>
                <w:rFonts w:hint="default"/>
                <w:highlight w:val="none"/>
                <w:lang w:val="en-US" w:eastAsia="zh-CN"/>
              </w:rPr>
              <w:t xml:space="preserve">27.00 </w:t>
            </w:r>
          </w:p>
        </w:tc>
        <w:tc>
          <w:tcPr>
            <w:tcW w:w="654" w:type="pct"/>
            <w:shd w:val="clear" w:color="auto" w:fill="auto"/>
            <w:noWrap/>
            <w:vAlign w:val="center"/>
          </w:tcPr>
          <w:p w14:paraId="7A57EC6F">
            <w:pPr>
              <w:pStyle w:val="34"/>
              <w:bidi w:val="0"/>
              <w:rPr>
                <w:rFonts w:hint="default"/>
                <w:highlight w:val="none"/>
              </w:rPr>
            </w:pPr>
            <w:r>
              <w:rPr>
                <w:rFonts w:hint="default"/>
                <w:highlight w:val="none"/>
                <w:lang w:val="en-US" w:eastAsia="zh-CN"/>
              </w:rPr>
              <w:t>320</w:t>
            </w:r>
          </w:p>
        </w:tc>
        <w:tc>
          <w:tcPr>
            <w:tcW w:w="1070" w:type="pct"/>
            <w:shd w:val="clear" w:color="auto" w:fill="auto"/>
            <w:noWrap/>
            <w:vAlign w:val="center"/>
          </w:tcPr>
          <w:p w14:paraId="28B8D908">
            <w:pPr>
              <w:pStyle w:val="34"/>
              <w:bidi w:val="0"/>
              <w:rPr>
                <w:rFonts w:hint="default"/>
                <w:highlight w:val="none"/>
              </w:rPr>
            </w:pPr>
            <w:r>
              <w:rPr>
                <w:rFonts w:hint="default"/>
                <w:highlight w:val="none"/>
                <w:lang w:val="en-US" w:eastAsia="zh-CN"/>
              </w:rPr>
              <w:t xml:space="preserve">0.86 </w:t>
            </w:r>
          </w:p>
        </w:tc>
      </w:tr>
      <w:tr w14:paraId="4DA09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893" w:type="pct"/>
            <w:shd w:val="clear" w:color="auto" w:fill="auto"/>
            <w:noWrap/>
            <w:vAlign w:val="center"/>
          </w:tcPr>
          <w:p w14:paraId="35BA6A0F">
            <w:pPr>
              <w:pStyle w:val="34"/>
              <w:bidi w:val="0"/>
              <w:rPr>
                <w:rFonts w:hint="default"/>
                <w:highlight w:val="none"/>
              </w:rPr>
            </w:pPr>
            <w:r>
              <w:rPr>
                <w:rFonts w:hint="default"/>
                <w:highlight w:val="none"/>
                <w:lang w:val="en-US" w:eastAsia="zh-CN"/>
              </w:rPr>
              <w:t>2.4</w:t>
            </w:r>
          </w:p>
        </w:tc>
        <w:tc>
          <w:tcPr>
            <w:tcW w:w="912" w:type="pct"/>
            <w:shd w:val="clear" w:color="auto" w:fill="auto"/>
            <w:noWrap/>
            <w:vAlign w:val="center"/>
          </w:tcPr>
          <w:p w14:paraId="40B711D6">
            <w:pPr>
              <w:pStyle w:val="34"/>
              <w:bidi w:val="0"/>
              <w:rPr>
                <w:rFonts w:hint="eastAsia"/>
                <w:highlight w:val="none"/>
              </w:rPr>
            </w:pPr>
            <w:r>
              <w:rPr>
                <w:rFonts w:hint="eastAsia"/>
                <w:highlight w:val="none"/>
                <w:lang w:val="en-US" w:eastAsia="zh-CN"/>
              </w:rPr>
              <w:t>砂浆抹面</w:t>
            </w:r>
          </w:p>
        </w:tc>
        <w:tc>
          <w:tcPr>
            <w:tcW w:w="681" w:type="pct"/>
            <w:shd w:val="clear" w:color="auto" w:fill="auto"/>
            <w:vAlign w:val="center"/>
          </w:tcPr>
          <w:p w14:paraId="5FF6803B">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2</w:t>
            </w:r>
          </w:p>
        </w:tc>
        <w:tc>
          <w:tcPr>
            <w:tcW w:w="786" w:type="pct"/>
            <w:shd w:val="clear" w:color="auto" w:fill="auto"/>
            <w:noWrap/>
            <w:vAlign w:val="center"/>
          </w:tcPr>
          <w:p w14:paraId="11AE9280">
            <w:pPr>
              <w:pStyle w:val="34"/>
              <w:bidi w:val="0"/>
              <w:rPr>
                <w:rFonts w:hint="default"/>
                <w:highlight w:val="none"/>
              </w:rPr>
            </w:pPr>
            <w:r>
              <w:rPr>
                <w:rFonts w:hint="default"/>
                <w:highlight w:val="none"/>
                <w:lang w:val="en-US" w:eastAsia="zh-CN"/>
              </w:rPr>
              <w:t xml:space="preserve">419.50 </w:t>
            </w:r>
          </w:p>
        </w:tc>
        <w:tc>
          <w:tcPr>
            <w:tcW w:w="654" w:type="pct"/>
            <w:shd w:val="clear" w:color="auto" w:fill="auto"/>
            <w:noWrap/>
            <w:vAlign w:val="center"/>
          </w:tcPr>
          <w:p w14:paraId="3B8564EE">
            <w:pPr>
              <w:pStyle w:val="34"/>
              <w:bidi w:val="0"/>
              <w:rPr>
                <w:rFonts w:hint="default"/>
                <w:highlight w:val="none"/>
              </w:rPr>
            </w:pPr>
            <w:r>
              <w:rPr>
                <w:rFonts w:hint="default"/>
                <w:highlight w:val="none"/>
                <w:lang w:val="en-US" w:eastAsia="zh-CN"/>
              </w:rPr>
              <w:t>40.37</w:t>
            </w:r>
          </w:p>
        </w:tc>
        <w:tc>
          <w:tcPr>
            <w:tcW w:w="1070" w:type="pct"/>
            <w:shd w:val="clear" w:color="auto" w:fill="auto"/>
            <w:noWrap/>
            <w:vAlign w:val="center"/>
          </w:tcPr>
          <w:p w14:paraId="53E36B59">
            <w:pPr>
              <w:pStyle w:val="34"/>
              <w:bidi w:val="0"/>
              <w:rPr>
                <w:rFonts w:hint="default"/>
                <w:highlight w:val="none"/>
              </w:rPr>
            </w:pPr>
            <w:r>
              <w:rPr>
                <w:rFonts w:hint="default"/>
                <w:highlight w:val="none"/>
                <w:lang w:val="en-US" w:eastAsia="zh-CN"/>
              </w:rPr>
              <w:t xml:space="preserve">1.69 </w:t>
            </w:r>
          </w:p>
        </w:tc>
      </w:tr>
      <w:tr w14:paraId="1CA02A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93" w:type="pct"/>
            <w:shd w:val="clear" w:color="auto" w:fill="auto"/>
            <w:noWrap/>
            <w:vAlign w:val="center"/>
          </w:tcPr>
          <w:p w14:paraId="3532CF51">
            <w:pPr>
              <w:pStyle w:val="34"/>
              <w:bidi w:val="0"/>
              <w:rPr>
                <w:rFonts w:hint="default"/>
                <w:highlight w:val="none"/>
              </w:rPr>
            </w:pPr>
            <w:r>
              <w:rPr>
                <w:rFonts w:hint="default"/>
                <w:highlight w:val="none"/>
                <w:lang w:val="en-US" w:eastAsia="zh-CN"/>
              </w:rPr>
              <w:t>3</w:t>
            </w:r>
          </w:p>
        </w:tc>
        <w:tc>
          <w:tcPr>
            <w:tcW w:w="912" w:type="pct"/>
            <w:shd w:val="clear" w:color="auto" w:fill="auto"/>
            <w:noWrap/>
            <w:vAlign w:val="center"/>
          </w:tcPr>
          <w:p w14:paraId="77CD14CE">
            <w:pPr>
              <w:pStyle w:val="34"/>
              <w:bidi w:val="0"/>
              <w:rPr>
                <w:rFonts w:hint="eastAsia"/>
                <w:highlight w:val="none"/>
              </w:rPr>
            </w:pPr>
            <w:r>
              <w:rPr>
                <w:rFonts w:hint="eastAsia"/>
                <w:highlight w:val="none"/>
                <w:lang w:val="en-US" w:eastAsia="zh-CN"/>
              </w:rPr>
              <w:t>临时沉砂池</w:t>
            </w:r>
          </w:p>
        </w:tc>
        <w:tc>
          <w:tcPr>
            <w:tcW w:w="681" w:type="pct"/>
            <w:shd w:val="clear" w:color="auto" w:fill="auto"/>
            <w:noWrap/>
            <w:vAlign w:val="center"/>
          </w:tcPr>
          <w:p w14:paraId="2A3913EA">
            <w:pPr>
              <w:pStyle w:val="34"/>
              <w:bidi w:val="0"/>
              <w:rPr>
                <w:rFonts w:hint="eastAsia"/>
                <w:highlight w:val="none"/>
              </w:rPr>
            </w:pPr>
            <w:r>
              <w:rPr>
                <w:rFonts w:hint="eastAsia"/>
                <w:highlight w:val="none"/>
                <w:lang w:val="en-US" w:eastAsia="zh-CN"/>
              </w:rPr>
              <w:t>口</w:t>
            </w:r>
          </w:p>
        </w:tc>
        <w:tc>
          <w:tcPr>
            <w:tcW w:w="786" w:type="pct"/>
            <w:shd w:val="clear" w:color="auto" w:fill="auto"/>
            <w:noWrap/>
            <w:vAlign w:val="center"/>
          </w:tcPr>
          <w:p w14:paraId="5809B9E2">
            <w:pPr>
              <w:pStyle w:val="34"/>
              <w:bidi w:val="0"/>
              <w:rPr>
                <w:rFonts w:hint="default"/>
                <w:highlight w:val="none"/>
              </w:rPr>
            </w:pPr>
            <w:r>
              <w:rPr>
                <w:rFonts w:hint="default"/>
                <w:highlight w:val="none"/>
                <w:lang w:val="en-US" w:eastAsia="zh-CN"/>
              </w:rPr>
              <w:t>2</w:t>
            </w:r>
          </w:p>
        </w:tc>
        <w:tc>
          <w:tcPr>
            <w:tcW w:w="654" w:type="pct"/>
            <w:shd w:val="clear" w:color="auto" w:fill="auto"/>
            <w:noWrap/>
            <w:vAlign w:val="center"/>
          </w:tcPr>
          <w:p w14:paraId="3371C0F6">
            <w:pPr>
              <w:pStyle w:val="34"/>
              <w:bidi w:val="0"/>
              <w:rPr>
                <w:rFonts w:hint="default"/>
                <w:highlight w:val="none"/>
              </w:rPr>
            </w:pPr>
          </w:p>
        </w:tc>
        <w:tc>
          <w:tcPr>
            <w:tcW w:w="1070" w:type="pct"/>
            <w:shd w:val="clear" w:color="auto" w:fill="auto"/>
            <w:noWrap/>
            <w:vAlign w:val="center"/>
          </w:tcPr>
          <w:p w14:paraId="431709AD">
            <w:pPr>
              <w:pStyle w:val="34"/>
              <w:bidi w:val="0"/>
              <w:rPr>
                <w:rFonts w:hint="default"/>
                <w:highlight w:val="none"/>
              </w:rPr>
            </w:pPr>
            <w:r>
              <w:rPr>
                <w:rFonts w:hint="default"/>
                <w:highlight w:val="none"/>
                <w:lang w:val="en-US" w:eastAsia="zh-CN"/>
              </w:rPr>
              <w:t>0.37</w:t>
            </w:r>
          </w:p>
        </w:tc>
      </w:tr>
      <w:tr w14:paraId="02718A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rPr>
        <w:tc>
          <w:tcPr>
            <w:tcW w:w="893" w:type="pct"/>
            <w:shd w:val="clear" w:color="auto" w:fill="auto"/>
            <w:noWrap/>
            <w:vAlign w:val="center"/>
          </w:tcPr>
          <w:p w14:paraId="07E86B72">
            <w:pPr>
              <w:pStyle w:val="34"/>
              <w:bidi w:val="0"/>
              <w:rPr>
                <w:rFonts w:hint="default"/>
                <w:highlight w:val="none"/>
              </w:rPr>
            </w:pPr>
            <w:r>
              <w:rPr>
                <w:rFonts w:hint="default"/>
                <w:highlight w:val="none"/>
                <w:lang w:val="en-US" w:eastAsia="zh-CN"/>
              </w:rPr>
              <w:t>3.1</w:t>
            </w:r>
          </w:p>
        </w:tc>
        <w:tc>
          <w:tcPr>
            <w:tcW w:w="912" w:type="pct"/>
            <w:shd w:val="clear" w:color="auto" w:fill="auto"/>
            <w:noWrap/>
            <w:vAlign w:val="center"/>
          </w:tcPr>
          <w:p w14:paraId="3C2064F2">
            <w:pPr>
              <w:pStyle w:val="34"/>
              <w:bidi w:val="0"/>
              <w:rPr>
                <w:rFonts w:hint="eastAsia"/>
                <w:highlight w:val="none"/>
              </w:rPr>
            </w:pPr>
            <w:r>
              <w:rPr>
                <w:rFonts w:hint="eastAsia"/>
                <w:highlight w:val="none"/>
                <w:lang w:val="en-US" w:eastAsia="zh-CN"/>
              </w:rPr>
              <w:t>沟槽开挖</w:t>
            </w:r>
          </w:p>
        </w:tc>
        <w:tc>
          <w:tcPr>
            <w:tcW w:w="681" w:type="pct"/>
            <w:shd w:val="clear" w:color="auto" w:fill="auto"/>
            <w:vAlign w:val="center"/>
          </w:tcPr>
          <w:p w14:paraId="089F29D1">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3</w:t>
            </w:r>
          </w:p>
        </w:tc>
        <w:tc>
          <w:tcPr>
            <w:tcW w:w="786" w:type="pct"/>
            <w:shd w:val="clear" w:color="auto" w:fill="auto"/>
            <w:noWrap/>
            <w:vAlign w:val="center"/>
          </w:tcPr>
          <w:p w14:paraId="69A64575">
            <w:pPr>
              <w:pStyle w:val="34"/>
              <w:bidi w:val="0"/>
              <w:rPr>
                <w:rFonts w:hint="default"/>
                <w:highlight w:val="none"/>
              </w:rPr>
            </w:pPr>
            <w:r>
              <w:rPr>
                <w:rFonts w:hint="default"/>
                <w:highlight w:val="none"/>
                <w:lang w:val="en-US" w:eastAsia="zh-CN"/>
              </w:rPr>
              <w:t>12.62</w:t>
            </w:r>
          </w:p>
        </w:tc>
        <w:tc>
          <w:tcPr>
            <w:tcW w:w="654" w:type="pct"/>
            <w:shd w:val="clear" w:color="auto" w:fill="auto"/>
            <w:noWrap/>
            <w:vAlign w:val="center"/>
          </w:tcPr>
          <w:p w14:paraId="69A48212">
            <w:pPr>
              <w:pStyle w:val="34"/>
              <w:bidi w:val="0"/>
              <w:rPr>
                <w:rFonts w:hint="default"/>
                <w:highlight w:val="none"/>
              </w:rPr>
            </w:pPr>
            <w:r>
              <w:rPr>
                <w:rFonts w:hint="default"/>
                <w:highlight w:val="none"/>
                <w:lang w:val="en-US" w:eastAsia="zh-CN"/>
              </w:rPr>
              <w:t>33.67</w:t>
            </w:r>
          </w:p>
        </w:tc>
        <w:tc>
          <w:tcPr>
            <w:tcW w:w="1070" w:type="pct"/>
            <w:shd w:val="clear" w:color="auto" w:fill="auto"/>
            <w:noWrap/>
            <w:vAlign w:val="center"/>
          </w:tcPr>
          <w:p w14:paraId="76DD6F1A">
            <w:pPr>
              <w:pStyle w:val="34"/>
              <w:bidi w:val="0"/>
              <w:rPr>
                <w:rFonts w:hint="default"/>
                <w:highlight w:val="none"/>
              </w:rPr>
            </w:pPr>
            <w:r>
              <w:rPr>
                <w:rFonts w:hint="default"/>
                <w:highlight w:val="none"/>
                <w:lang w:val="en-US" w:eastAsia="zh-CN"/>
              </w:rPr>
              <w:t>0.04</w:t>
            </w:r>
          </w:p>
        </w:tc>
      </w:tr>
      <w:tr w14:paraId="78DDB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0" w:hRule="atLeast"/>
        </w:trPr>
        <w:tc>
          <w:tcPr>
            <w:tcW w:w="893" w:type="pct"/>
            <w:shd w:val="clear" w:color="auto" w:fill="auto"/>
            <w:noWrap/>
            <w:vAlign w:val="center"/>
          </w:tcPr>
          <w:p w14:paraId="7BA710FF">
            <w:pPr>
              <w:pStyle w:val="34"/>
              <w:bidi w:val="0"/>
              <w:rPr>
                <w:rFonts w:hint="default"/>
                <w:highlight w:val="none"/>
              </w:rPr>
            </w:pPr>
            <w:r>
              <w:rPr>
                <w:rFonts w:hint="default"/>
                <w:highlight w:val="none"/>
                <w:lang w:val="en-US" w:eastAsia="zh-CN"/>
              </w:rPr>
              <w:t>3.2</w:t>
            </w:r>
          </w:p>
        </w:tc>
        <w:tc>
          <w:tcPr>
            <w:tcW w:w="912" w:type="pct"/>
            <w:shd w:val="clear" w:color="auto" w:fill="auto"/>
            <w:noWrap/>
            <w:vAlign w:val="center"/>
          </w:tcPr>
          <w:p w14:paraId="2903E190">
            <w:pPr>
              <w:pStyle w:val="34"/>
              <w:bidi w:val="0"/>
              <w:rPr>
                <w:rFonts w:hint="default"/>
                <w:highlight w:val="none"/>
              </w:rPr>
            </w:pPr>
            <w:r>
              <w:rPr>
                <w:rFonts w:hint="default"/>
                <w:highlight w:val="none"/>
                <w:lang w:val="en-US" w:eastAsia="zh-CN"/>
              </w:rPr>
              <w:t>M7.5</w:t>
            </w:r>
            <w:r>
              <w:rPr>
                <w:rFonts w:hint="eastAsia"/>
                <w:highlight w:val="none"/>
                <w:lang w:val="en-US" w:eastAsia="zh-CN"/>
              </w:rPr>
              <w:t>砖砌</w:t>
            </w:r>
          </w:p>
        </w:tc>
        <w:tc>
          <w:tcPr>
            <w:tcW w:w="681" w:type="pct"/>
            <w:shd w:val="clear" w:color="auto" w:fill="auto"/>
            <w:vAlign w:val="center"/>
          </w:tcPr>
          <w:p w14:paraId="1F4D1F05">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3</w:t>
            </w:r>
          </w:p>
        </w:tc>
        <w:tc>
          <w:tcPr>
            <w:tcW w:w="786" w:type="pct"/>
            <w:shd w:val="clear" w:color="auto" w:fill="auto"/>
            <w:noWrap/>
            <w:vAlign w:val="center"/>
          </w:tcPr>
          <w:p w14:paraId="2087CC76">
            <w:pPr>
              <w:pStyle w:val="34"/>
              <w:bidi w:val="0"/>
              <w:rPr>
                <w:rFonts w:hint="default"/>
                <w:highlight w:val="none"/>
              </w:rPr>
            </w:pPr>
            <w:r>
              <w:rPr>
                <w:rFonts w:hint="default"/>
                <w:highlight w:val="none"/>
                <w:lang w:val="en-US" w:eastAsia="zh-CN"/>
              </w:rPr>
              <w:t>3.62</w:t>
            </w:r>
          </w:p>
        </w:tc>
        <w:tc>
          <w:tcPr>
            <w:tcW w:w="654" w:type="pct"/>
            <w:shd w:val="clear" w:color="auto" w:fill="auto"/>
            <w:noWrap/>
            <w:vAlign w:val="center"/>
          </w:tcPr>
          <w:p w14:paraId="5FA102E2">
            <w:pPr>
              <w:pStyle w:val="34"/>
              <w:bidi w:val="0"/>
              <w:rPr>
                <w:rFonts w:hint="default"/>
                <w:highlight w:val="none"/>
              </w:rPr>
            </w:pPr>
            <w:r>
              <w:rPr>
                <w:rFonts w:hint="default"/>
                <w:highlight w:val="none"/>
                <w:lang w:val="en-US" w:eastAsia="zh-CN"/>
              </w:rPr>
              <w:t>595.61</w:t>
            </w:r>
          </w:p>
        </w:tc>
        <w:tc>
          <w:tcPr>
            <w:tcW w:w="1070" w:type="pct"/>
            <w:shd w:val="clear" w:color="auto" w:fill="auto"/>
            <w:noWrap/>
            <w:vAlign w:val="center"/>
          </w:tcPr>
          <w:p w14:paraId="5E375074">
            <w:pPr>
              <w:pStyle w:val="34"/>
              <w:bidi w:val="0"/>
              <w:rPr>
                <w:rFonts w:hint="default"/>
                <w:highlight w:val="none"/>
              </w:rPr>
            </w:pPr>
            <w:r>
              <w:rPr>
                <w:rFonts w:hint="default"/>
                <w:highlight w:val="none"/>
                <w:lang w:val="en-US" w:eastAsia="zh-CN"/>
              </w:rPr>
              <w:t>0.22</w:t>
            </w:r>
          </w:p>
        </w:tc>
      </w:tr>
      <w:tr w14:paraId="11B39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893" w:type="pct"/>
            <w:shd w:val="clear" w:color="auto" w:fill="auto"/>
            <w:noWrap/>
            <w:vAlign w:val="center"/>
          </w:tcPr>
          <w:p w14:paraId="4B1EC339">
            <w:pPr>
              <w:pStyle w:val="34"/>
              <w:bidi w:val="0"/>
              <w:rPr>
                <w:rFonts w:hint="default"/>
                <w:highlight w:val="none"/>
              </w:rPr>
            </w:pPr>
            <w:r>
              <w:rPr>
                <w:rFonts w:hint="default"/>
                <w:highlight w:val="none"/>
                <w:lang w:val="en-US" w:eastAsia="zh-CN"/>
              </w:rPr>
              <w:t>3.3</w:t>
            </w:r>
          </w:p>
        </w:tc>
        <w:tc>
          <w:tcPr>
            <w:tcW w:w="912" w:type="pct"/>
            <w:shd w:val="clear" w:color="auto" w:fill="auto"/>
            <w:noWrap/>
            <w:vAlign w:val="center"/>
          </w:tcPr>
          <w:p w14:paraId="1D05E91B">
            <w:pPr>
              <w:pStyle w:val="34"/>
              <w:bidi w:val="0"/>
              <w:rPr>
                <w:rFonts w:hint="default"/>
                <w:highlight w:val="none"/>
              </w:rPr>
            </w:pPr>
            <w:r>
              <w:rPr>
                <w:rFonts w:hint="default"/>
                <w:highlight w:val="none"/>
                <w:lang w:val="en-US" w:eastAsia="zh-CN"/>
              </w:rPr>
              <w:t>C10</w:t>
            </w:r>
            <w:r>
              <w:rPr>
                <w:rFonts w:hint="eastAsia"/>
                <w:highlight w:val="none"/>
                <w:lang w:val="en-US" w:eastAsia="zh-CN"/>
              </w:rPr>
              <w:t>浇底</w:t>
            </w:r>
          </w:p>
        </w:tc>
        <w:tc>
          <w:tcPr>
            <w:tcW w:w="681" w:type="pct"/>
            <w:shd w:val="clear" w:color="auto" w:fill="auto"/>
            <w:vAlign w:val="center"/>
          </w:tcPr>
          <w:p w14:paraId="2A95E21B">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3</w:t>
            </w:r>
          </w:p>
        </w:tc>
        <w:tc>
          <w:tcPr>
            <w:tcW w:w="786" w:type="pct"/>
            <w:shd w:val="clear" w:color="auto" w:fill="auto"/>
            <w:noWrap/>
            <w:vAlign w:val="center"/>
          </w:tcPr>
          <w:p w14:paraId="4842D955">
            <w:pPr>
              <w:pStyle w:val="34"/>
              <w:bidi w:val="0"/>
              <w:rPr>
                <w:rFonts w:hint="default"/>
                <w:highlight w:val="none"/>
              </w:rPr>
            </w:pPr>
            <w:r>
              <w:rPr>
                <w:rFonts w:hint="default"/>
                <w:highlight w:val="none"/>
                <w:lang w:val="en-US" w:eastAsia="zh-CN"/>
              </w:rPr>
              <w:t>0.6</w:t>
            </w:r>
          </w:p>
        </w:tc>
        <w:tc>
          <w:tcPr>
            <w:tcW w:w="654" w:type="pct"/>
            <w:shd w:val="clear" w:color="auto" w:fill="auto"/>
            <w:noWrap/>
            <w:vAlign w:val="center"/>
          </w:tcPr>
          <w:p w14:paraId="729D94B8">
            <w:pPr>
              <w:pStyle w:val="34"/>
              <w:bidi w:val="0"/>
              <w:rPr>
                <w:rFonts w:hint="default"/>
                <w:highlight w:val="none"/>
              </w:rPr>
            </w:pPr>
            <w:r>
              <w:rPr>
                <w:rFonts w:hint="default"/>
                <w:highlight w:val="none"/>
                <w:lang w:val="en-US" w:eastAsia="zh-CN"/>
              </w:rPr>
              <w:t>320</w:t>
            </w:r>
          </w:p>
        </w:tc>
        <w:tc>
          <w:tcPr>
            <w:tcW w:w="1070" w:type="pct"/>
            <w:shd w:val="clear" w:color="auto" w:fill="auto"/>
            <w:noWrap/>
            <w:vAlign w:val="center"/>
          </w:tcPr>
          <w:p w14:paraId="116DA8E7">
            <w:pPr>
              <w:pStyle w:val="34"/>
              <w:bidi w:val="0"/>
              <w:rPr>
                <w:rFonts w:hint="default"/>
                <w:highlight w:val="none"/>
              </w:rPr>
            </w:pPr>
            <w:r>
              <w:rPr>
                <w:rFonts w:hint="default"/>
                <w:highlight w:val="none"/>
                <w:lang w:val="en-US" w:eastAsia="zh-CN"/>
              </w:rPr>
              <w:t>0.02</w:t>
            </w:r>
          </w:p>
        </w:tc>
      </w:tr>
      <w:tr w14:paraId="713465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 w:hRule="atLeast"/>
        </w:trPr>
        <w:tc>
          <w:tcPr>
            <w:tcW w:w="893" w:type="pct"/>
            <w:shd w:val="clear" w:color="auto" w:fill="auto"/>
            <w:noWrap/>
            <w:vAlign w:val="center"/>
          </w:tcPr>
          <w:p w14:paraId="3218BD4C">
            <w:pPr>
              <w:pStyle w:val="34"/>
              <w:bidi w:val="0"/>
              <w:rPr>
                <w:rFonts w:hint="default"/>
                <w:highlight w:val="none"/>
              </w:rPr>
            </w:pPr>
            <w:r>
              <w:rPr>
                <w:rFonts w:hint="default"/>
                <w:highlight w:val="none"/>
                <w:lang w:val="en-US" w:eastAsia="zh-CN"/>
              </w:rPr>
              <w:t>3.4</w:t>
            </w:r>
          </w:p>
        </w:tc>
        <w:tc>
          <w:tcPr>
            <w:tcW w:w="912" w:type="pct"/>
            <w:shd w:val="clear" w:color="auto" w:fill="auto"/>
            <w:noWrap/>
            <w:vAlign w:val="center"/>
          </w:tcPr>
          <w:p w14:paraId="30A41E13">
            <w:pPr>
              <w:pStyle w:val="34"/>
              <w:bidi w:val="0"/>
              <w:rPr>
                <w:rFonts w:hint="eastAsia"/>
                <w:highlight w:val="none"/>
              </w:rPr>
            </w:pPr>
            <w:r>
              <w:rPr>
                <w:rFonts w:hint="eastAsia"/>
                <w:highlight w:val="none"/>
                <w:lang w:val="en-US" w:eastAsia="zh-CN"/>
              </w:rPr>
              <w:t>砂浆抹面</w:t>
            </w:r>
          </w:p>
        </w:tc>
        <w:tc>
          <w:tcPr>
            <w:tcW w:w="681" w:type="pct"/>
            <w:shd w:val="clear" w:color="auto" w:fill="auto"/>
            <w:vAlign w:val="center"/>
          </w:tcPr>
          <w:p w14:paraId="4603D74B">
            <w:pPr>
              <w:pStyle w:val="34"/>
              <w:bidi w:val="0"/>
              <w:rPr>
                <w:rFonts w:hint="default"/>
                <w:highlight w:val="none"/>
              </w:rPr>
            </w:pPr>
            <w:r>
              <w:rPr>
                <w:rFonts w:hint="default"/>
                <w:highlight w:val="none"/>
                <w:lang w:val="en-US" w:eastAsia="zh-CN"/>
              </w:rPr>
              <w:t>m</w:t>
            </w:r>
            <w:r>
              <w:rPr>
                <w:rFonts w:hint="default"/>
                <w:highlight w:val="none"/>
                <w:vertAlign w:val="superscript"/>
                <w:lang w:val="en-US" w:eastAsia="zh-CN"/>
              </w:rPr>
              <w:t>2</w:t>
            </w:r>
          </w:p>
        </w:tc>
        <w:tc>
          <w:tcPr>
            <w:tcW w:w="786" w:type="pct"/>
            <w:shd w:val="clear" w:color="auto" w:fill="auto"/>
            <w:noWrap/>
            <w:vAlign w:val="center"/>
          </w:tcPr>
          <w:p w14:paraId="5165250F">
            <w:pPr>
              <w:pStyle w:val="34"/>
              <w:bidi w:val="0"/>
              <w:rPr>
                <w:rFonts w:hint="default"/>
                <w:highlight w:val="none"/>
              </w:rPr>
            </w:pPr>
            <w:r>
              <w:rPr>
                <w:rFonts w:hint="default"/>
                <w:highlight w:val="none"/>
                <w:lang w:val="en-US" w:eastAsia="zh-CN"/>
              </w:rPr>
              <w:t>22.68</w:t>
            </w:r>
          </w:p>
        </w:tc>
        <w:tc>
          <w:tcPr>
            <w:tcW w:w="654" w:type="pct"/>
            <w:shd w:val="clear" w:color="auto" w:fill="auto"/>
            <w:noWrap/>
            <w:vAlign w:val="center"/>
          </w:tcPr>
          <w:p w14:paraId="4B31DC1D">
            <w:pPr>
              <w:pStyle w:val="34"/>
              <w:bidi w:val="0"/>
              <w:rPr>
                <w:rFonts w:hint="default"/>
                <w:highlight w:val="none"/>
              </w:rPr>
            </w:pPr>
            <w:r>
              <w:rPr>
                <w:rFonts w:hint="default"/>
                <w:highlight w:val="none"/>
                <w:lang w:val="en-US" w:eastAsia="zh-CN"/>
              </w:rPr>
              <w:t>40.37</w:t>
            </w:r>
          </w:p>
        </w:tc>
        <w:tc>
          <w:tcPr>
            <w:tcW w:w="1070" w:type="pct"/>
            <w:shd w:val="clear" w:color="auto" w:fill="auto"/>
            <w:noWrap/>
            <w:vAlign w:val="center"/>
          </w:tcPr>
          <w:p w14:paraId="76F355CA">
            <w:pPr>
              <w:pStyle w:val="34"/>
              <w:bidi w:val="0"/>
              <w:rPr>
                <w:rFonts w:hint="default"/>
                <w:highlight w:val="none"/>
              </w:rPr>
            </w:pPr>
            <w:r>
              <w:rPr>
                <w:rFonts w:hint="default"/>
                <w:highlight w:val="none"/>
                <w:lang w:val="en-US" w:eastAsia="zh-CN"/>
              </w:rPr>
              <w:t>0.09</w:t>
            </w:r>
          </w:p>
        </w:tc>
      </w:tr>
      <w:tr w14:paraId="4FC533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893" w:type="pct"/>
            <w:shd w:val="clear" w:color="auto" w:fill="auto"/>
            <w:noWrap/>
            <w:vAlign w:val="center"/>
          </w:tcPr>
          <w:p w14:paraId="00433F51">
            <w:pPr>
              <w:pStyle w:val="34"/>
              <w:bidi w:val="0"/>
              <w:rPr>
                <w:rFonts w:hint="default"/>
                <w:highlight w:val="none"/>
              </w:rPr>
            </w:pPr>
            <w:r>
              <w:rPr>
                <w:rFonts w:hint="default"/>
                <w:highlight w:val="none"/>
                <w:lang w:val="en-US" w:eastAsia="zh-CN"/>
              </w:rPr>
              <w:t>4</w:t>
            </w:r>
          </w:p>
        </w:tc>
        <w:tc>
          <w:tcPr>
            <w:tcW w:w="912" w:type="pct"/>
            <w:shd w:val="clear" w:color="auto" w:fill="auto"/>
            <w:noWrap/>
            <w:vAlign w:val="center"/>
          </w:tcPr>
          <w:p w14:paraId="1A87CC7D">
            <w:pPr>
              <w:pStyle w:val="34"/>
              <w:bidi w:val="0"/>
              <w:rPr>
                <w:rFonts w:hint="eastAsia"/>
                <w:highlight w:val="none"/>
              </w:rPr>
            </w:pPr>
            <w:r>
              <w:rPr>
                <w:rFonts w:hint="eastAsia"/>
                <w:highlight w:val="none"/>
                <w:lang w:val="en-US" w:eastAsia="zh-CN"/>
              </w:rPr>
              <w:t>防雨布遮盖</w:t>
            </w:r>
          </w:p>
        </w:tc>
        <w:tc>
          <w:tcPr>
            <w:tcW w:w="681" w:type="pct"/>
            <w:shd w:val="clear" w:color="auto" w:fill="auto"/>
            <w:noWrap/>
            <w:vAlign w:val="center"/>
          </w:tcPr>
          <w:p w14:paraId="2089C9C8">
            <w:pPr>
              <w:pStyle w:val="34"/>
              <w:bidi w:val="0"/>
              <w:rPr>
                <w:rFonts w:hint="default"/>
                <w:highlight w:val="none"/>
              </w:rPr>
            </w:pPr>
            <w:r>
              <w:rPr>
                <w:rFonts w:hint="default"/>
                <w:highlight w:val="none"/>
                <w:lang w:val="en-US" w:eastAsia="zh-CN"/>
              </w:rPr>
              <w:t>m²</w:t>
            </w:r>
          </w:p>
        </w:tc>
        <w:tc>
          <w:tcPr>
            <w:tcW w:w="786" w:type="pct"/>
            <w:shd w:val="clear" w:color="auto" w:fill="auto"/>
            <w:noWrap/>
            <w:vAlign w:val="center"/>
          </w:tcPr>
          <w:p w14:paraId="109A71B5">
            <w:pPr>
              <w:pStyle w:val="34"/>
              <w:bidi w:val="0"/>
              <w:rPr>
                <w:rFonts w:hint="default"/>
                <w:highlight w:val="none"/>
              </w:rPr>
            </w:pPr>
            <w:r>
              <w:rPr>
                <w:rFonts w:hint="default"/>
                <w:highlight w:val="none"/>
                <w:lang w:val="en-US" w:eastAsia="zh-CN"/>
              </w:rPr>
              <w:t>20000</w:t>
            </w:r>
          </w:p>
        </w:tc>
        <w:tc>
          <w:tcPr>
            <w:tcW w:w="654" w:type="pct"/>
            <w:shd w:val="clear" w:color="auto" w:fill="auto"/>
            <w:noWrap/>
            <w:vAlign w:val="center"/>
          </w:tcPr>
          <w:p w14:paraId="0F4DF9E1">
            <w:pPr>
              <w:pStyle w:val="34"/>
              <w:bidi w:val="0"/>
              <w:rPr>
                <w:rFonts w:hint="default"/>
                <w:highlight w:val="none"/>
              </w:rPr>
            </w:pPr>
            <w:r>
              <w:rPr>
                <w:rFonts w:hint="default"/>
                <w:highlight w:val="none"/>
                <w:lang w:val="en-US" w:eastAsia="zh-CN"/>
              </w:rPr>
              <w:t>9.2</w:t>
            </w:r>
          </w:p>
        </w:tc>
        <w:tc>
          <w:tcPr>
            <w:tcW w:w="1070" w:type="pct"/>
            <w:shd w:val="clear" w:color="auto" w:fill="auto"/>
            <w:noWrap/>
            <w:vAlign w:val="center"/>
          </w:tcPr>
          <w:p w14:paraId="20E883A6">
            <w:pPr>
              <w:pStyle w:val="34"/>
              <w:bidi w:val="0"/>
              <w:rPr>
                <w:rFonts w:hint="default"/>
                <w:highlight w:val="none"/>
              </w:rPr>
            </w:pPr>
            <w:r>
              <w:rPr>
                <w:rFonts w:hint="default"/>
                <w:highlight w:val="none"/>
                <w:lang w:val="en-US" w:eastAsia="zh-CN"/>
              </w:rPr>
              <w:t>18.4</w:t>
            </w:r>
          </w:p>
        </w:tc>
      </w:tr>
      <w:tr w14:paraId="20E4A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00" w:hRule="atLeast"/>
        </w:trPr>
        <w:tc>
          <w:tcPr>
            <w:tcW w:w="893" w:type="pct"/>
            <w:shd w:val="clear" w:color="auto" w:fill="auto"/>
            <w:vAlign w:val="center"/>
          </w:tcPr>
          <w:p w14:paraId="54B592C5">
            <w:pPr>
              <w:pStyle w:val="34"/>
              <w:bidi w:val="0"/>
              <w:rPr>
                <w:rFonts w:hint="eastAsia"/>
                <w:highlight w:val="none"/>
              </w:rPr>
            </w:pPr>
            <w:r>
              <w:rPr>
                <w:rFonts w:hint="eastAsia"/>
                <w:highlight w:val="none"/>
                <w:lang w:val="en-US" w:eastAsia="zh-CN"/>
              </w:rPr>
              <w:t>二</w:t>
            </w:r>
          </w:p>
        </w:tc>
        <w:tc>
          <w:tcPr>
            <w:tcW w:w="912" w:type="pct"/>
            <w:shd w:val="clear" w:color="auto" w:fill="auto"/>
            <w:vAlign w:val="center"/>
          </w:tcPr>
          <w:p w14:paraId="71D2C0F3">
            <w:pPr>
              <w:pStyle w:val="34"/>
              <w:bidi w:val="0"/>
              <w:rPr>
                <w:rFonts w:hint="eastAsia"/>
                <w:highlight w:val="none"/>
              </w:rPr>
            </w:pPr>
            <w:r>
              <w:rPr>
                <w:rFonts w:hint="eastAsia"/>
                <w:highlight w:val="none"/>
                <w:lang w:val="en-US" w:eastAsia="zh-CN"/>
              </w:rPr>
              <w:t>其它临时工程</w:t>
            </w:r>
          </w:p>
        </w:tc>
        <w:tc>
          <w:tcPr>
            <w:tcW w:w="681" w:type="pct"/>
            <w:shd w:val="clear" w:color="auto" w:fill="auto"/>
            <w:vAlign w:val="center"/>
          </w:tcPr>
          <w:p w14:paraId="11A1106B">
            <w:pPr>
              <w:pStyle w:val="34"/>
              <w:bidi w:val="0"/>
              <w:rPr>
                <w:rFonts w:hint="eastAsia"/>
                <w:highlight w:val="none"/>
              </w:rPr>
            </w:pPr>
            <w:r>
              <w:rPr>
                <w:rFonts w:hint="eastAsia"/>
                <w:highlight w:val="none"/>
                <w:lang w:val="en-US" w:eastAsia="zh-CN"/>
              </w:rPr>
              <w:t>万元</w:t>
            </w:r>
          </w:p>
        </w:tc>
        <w:tc>
          <w:tcPr>
            <w:tcW w:w="786" w:type="pct"/>
            <w:shd w:val="clear" w:color="auto" w:fill="auto"/>
            <w:noWrap/>
            <w:vAlign w:val="center"/>
          </w:tcPr>
          <w:p w14:paraId="4DDB53FB">
            <w:pPr>
              <w:pStyle w:val="34"/>
              <w:bidi w:val="0"/>
              <w:rPr>
                <w:rFonts w:hint="default"/>
                <w:highlight w:val="none"/>
              </w:rPr>
            </w:pPr>
          </w:p>
        </w:tc>
        <w:tc>
          <w:tcPr>
            <w:tcW w:w="654" w:type="pct"/>
            <w:shd w:val="clear" w:color="auto" w:fill="auto"/>
            <w:noWrap/>
            <w:vAlign w:val="center"/>
          </w:tcPr>
          <w:p w14:paraId="149C8D8B">
            <w:pPr>
              <w:pStyle w:val="34"/>
              <w:bidi w:val="0"/>
              <w:rPr>
                <w:rFonts w:hint="default"/>
                <w:highlight w:val="none"/>
              </w:rPr>
            </w:pPr>
            <w:r>
              <w:rPr>
                <w:rFonts w:hint="default"/>
                <w:highlight w:val="none"/>
                <w:lang w:val="en-US" w:eastAsia="zh-CN"/>
              </w:rPr>
              <w:t>0.02</w:t>
            </w:r>
          </w:p>
        </w:tc>
        <w:tc>
          <w:tcPr>
            <w:tcW w:w="1070" w:type="pct"/>
            <w:shd w:val="clear" w:color="auto" w:fill="auto"/>
            <w:noWrap/>
            <w:vAlign w:val="center"/>
          </w:tcPr>
          <w:p w14:paraId="0ACA600A">
            <w:pPr>
              <w:pStyle w:val="34"/>
              <w:bidi w:val="0"/>
              <w:rPr>
                <w:rFonts w:hint="default"/>
                <w:highlight w:val="none"/>
              </w:rPr>
            </w:pPr>
            <w:r>
              <w:rPr>
                <w:rFonts w:hint="default"/>
                <w:b/>
                <w:bCs/>
                <w:highlight w:val="none"/>
                <w:lang w:val="en-US" w:eastAsia="zh-CN"/>
              </w:rPr>
              <w:t xml:space="preserve">0.77 </w:t>
            </w:r>
          </w:p>
        </w:tc>
      </w:tr>
      <w:tr w14:paraId="5962A2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0" w:hRule="atLeast"/>
        </w:trPr>
        <w:tc>
          <w:tcPr>
            <w:tcW w:w="2487" w:type="pct"/>
            <w:gridSpan w:val="3"/>
            <w:shd w:val="clear" w:color="auto" w:fill="auto"/>
            <w:noWrap/>
            <w:vAlign w:val="center"/>
          </w:tcPr>
          <w:p w14:paraId="45DDA535">
            <w:pPr>
              <w:pStyle w:val="34"/>
              <w:bidi w:val="0"/>
              <w:rPr>
                <w:rFonts w:hint="eastAsia"/>
                <w:highlight w:val="none"/>
              </w:rPr>
            </w:pPr>
            <w:r>
              <w:rPr>
                <w:rFonts w:hint="eastAsia"/>
                <w:highlight w:val="none"/>
                <w:lang w:val="en-US" w:eastAsia="zh-CN"/>
              </w:rPr>
              <w:t>合计</w:t>
            </w:r>
          </w:p>
        </w:tc>
        <w:tc>
          <w:tcPr>
            <w:tcW w:w="2512" w:type="pct"/>
            <w:gridSpan w:val="3"/>
            <w:shd w:val="clear" w:color="auto" w:fill="auto"/>
            <w:noWrap/>
            <w:vAlign w:val="center"/>
          </w:tcPr>
          <w:p w14:paraId="54B77CEA">
            <w:pPr>
              <w:pStyle w:val="34"/>
              <w:bidi w:val="0"/>
              <w:rPr>
                <w:rFonts w:hint="default"/>
                <w:highlight w:val="none"/>
              </w:rPr>
            </w:pPr>
            <w:r>
              <w:rPr>
                <w:rFonts w:hint="default"/>
                <w:b/>
                <w:bCs/>
                <w:highlight w:val="none"/>
                <w:lang w:val="en-US" w:eastAsia="zh-CN"/>
              </w:rPr>
              <w:t>39.03</w:t>
            </w:r>
          </w:p>
        </w:tc>
      </w:tr>
    </w:tbl>
    <w:p w14:paraId="1144E1D8">
      <w:pPr>
        <w:keepNext/>
        <w:keepLines w:val="0"/>
        <w:pageBreakBefore w:val="0"/>
        <w:kinsoku/>
        <w:wordWrap/>
        <w:overflowPunct/>
        <w:topLinePunct w:val="0"/>
        <w:autoSpaceDE/>
        <w:autoSpaceDN/>
        <w:bidi w:val="0"/>
        <w:adjustRightInd/>
        <w:snapToGrid/>
        <w:spacing w:line="240" w:lineRule="auto"/>
        <w:ind w:firstLine="0" w:firstLineChars="0"/>
        <w:jc w:val="center"/>
        <w:rPr>
          <w:rFonts w:hint="default" w:ascii="Times New Roman" w:hAnsi="Times New Roman" w:eastAsia="仿宋_GB2312" w:cs="Times New Roman"/>
          <w:b/>
          <w:bCs/>
          <w:color w:val="0000FF"/>
          <w:sz w:val="21"/>
          <w:szCs w:val="21"/>
        </w:rPr>
      </w:pPr>
    </w:p>
    <w:p w14:paraId="114C50C6">
      <w:pPr>
        <w:pStyle w:val="35"/>
        <w:bidi w:val="0"/>
        <w:rPr>
          <w:highlight w:val="none"/>
        </w:rPr>
      </w:pPr>
      <w:r>
        <w:rPr>
          <w:highlight w:val="none"/>
        </w:rPr>
        <w:t>表7.1-6  独立费用</w:t>
      </w:r>
      <w:r>
        <w:rPr>
          <w:rFonts w:hint="eastAsia"/>
          <w:highlight w:val="none"/>
          <w:lang w:val="en-US" w:eastAsia="zh-CN"/>
        </w:rPr>
        <w:t>估</w:t>
      </w:r>
      <w:r>
        <w:rPr>
          <w:highlight w:val="none"/>
        </w:rPr>
        <w:t>算表</w:t>
      </w:r>
    </w:p>
    <w:tbl>
      <w:tblPr>
        <w:tblStyle w:val="25"/>
        <w:tblW w:w="4998"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1716"/>
        <w:gridCol w:w="2617"/>
        <w:gridCol w:w="3223"/>
        <w:gridCol w:w="1728"/>
      </w:tblGrid>
      <w:tr w14:paraId="091A853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480" w:hRule="atLeast"/>
          <w:jc w:val="center"/>
        </w:trPr>
        <w:tc>
          <w:tcPr>
            <w:tcW w:w="171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508B24CB">
            <w:pPr>
              <w:pStyle w:val="34"/>
              <w:bidi w:val="0"/>
              <w:rPr>
                <w:highlight w:val="none"/>
              </w:rPr>
            </w:pPr>
            <w:r>
              <w:rPr>
                <w:rFonts w:hint="eastAsia"/>
                <w:highlight w:val="none"/>
                <w:lang w:val="en-US" w:eastAsia="zh-CN"/>
              </w:rPr>
              <w:t>编号</w:t>
            </w:r>
          </w:p>
        </w:tc>
        <w:tc>
          <w:tcPr>
            <w:tcW w:w="261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27DC607">
            <w:pPr>
              <w:pStyle w:val="34"/>
              <w:bidi w:val="0"/>
              <w:rPr>
                <w:rFonts w:hint="eastAsia"/>
                <w:highlight w:val="none"/>
              </w:rPr>
            </w:pPr>
            <w:r>
              <w:rPr>
                <w:rFonts w:hint="eastAsia"/>
                <w:highlight w:val="none"/>
                <w:lang w:val="en-US" w:eastAsia="zh-CN"/>
              </w:rPr>
              <w:t>工程或费用名称</w:t>
            </w:r>
          </w:p>
        </w:tc>
        <w:tc>
          <w:tcPr>
            <w:tcW w:w="322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FCEF345">
            <w:pPr>
              <w:pStyle w:val="34"/>
              <w:bidi w:val="0"/>
              <w:rPr>
                <w:rFonts w:hint="eastAsia"/>
                <w:highlight w:val="none"/>
              </w:rPr>
            </w:pPr>
            <w:r>
              <w:rPr>
                <w:rFonts w:hint="eastAsia"/>
                <w:highlight w:val="none"/>
                <w:lang w:val="en-US" w:eastAsia="zh-CN"/>
              </w:rPr>
              <w:t>计列标准</w:t>
            </w:r>
          </w:p>
        </w:tc>
        <w:tc>
          <w:tcPr>
            <w:tcW w:w="1728"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98D308E">
            <w:pPr>
              <w:pStyle w:val="34"/>
              <w:bidi w:val="0"/>
              <w:rPr>
                <w:rFonts w:hint="eastAsia"/>
                <w:highlight w:val="none"/>
              </w:rPr>
            </w:pPr>
            <w:r>
              <w:rPr>
                <w:rFonts w:hint="eastAsia"/>
                <w:highlight w:val="none"/>
                <w:lang w:val="en-US" w:eastAsia="zh-CN"/>
              </w:rPr>
              <w:t>总价（万元）</w:t>
            </w:r>
          </w:p>
        </w:tc>
      </w:tr>
      <w:tr w14:paraId="3B599AD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85" w:hRule="atLeast"/>
          <w:jc w:val="center"/>
        </w:trPr>
        <w:tc>
          <w:tcPr>
            <w:tcW w:w="4333" w:type="dxa"/>
            <w:gridSpan w:val="2"/>
            <w:tcBorders>
              <w:top w:val="single" w:color="auto" w:sz="4" w:space="0"/>
              <w:left w:val="single" w:color="auto" w:sz="4" w:space="0"/>
              <w:bottom w:val="single" w:color="auto" w:sz="4" w:space="0"/>
              <w:right w:val="single" w:color="auto" w:sz="4" w:space="0"/>
              <w:tl2br w:val="nil"/>
              <w:tr2bl w:val="nil"/>
            </w:tcBorders>
            <w:noWrap w:val="0"/>
            <w:vAlign w:val="center"/>
          </w:tcPr>
          <w:p w14:paraId="5419E9DD">
            <w:pPr>
              <w:pStyle w:val="34"/>
              <w:bidi w:val="0"/>
              <w:rPr>
                <w:rFonts w:hint="eastAsia"/>
                <w:highlight w:val="none"/>
              </w:rPr>
            </w:pPr>
            <w:r>
              <w:rPr>
                <w:rFonts w:hint="eastAsia"/>
                <w:highlight w:val="none"/>
                <w:lang w:val="en-US" w:eastAsia="zh-CN"/>
              </w:rPr>
              <w:t>独立费用</w:t>
            </w:r>
          </w:p>
        </w:tc>
        <w:tc>
          <w:tcPr>
            <w:tcW w:w="322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63FA8EE">
            <w:pPr>
              <w:pStyle w:val="34"/>
              <w:bidi w:val="0"/>
              <w:rPr>
                <w:rFonts w:hint="default"/>
                <w:highlight w:val="none"/>
              </w:rPr>
            </w:pPr>
          </w:p>
        </w:tc>
        <w:tc>
          <w:tcPr>
            <w:tcW w:w="1664" w:type="dxa"/>
            <w:tcBorders>
              <w:top w:val="single" w:color="auto" w:sz="4" w:space="0"/>
              <w:left w:val="single" w:color="auto" w:sz="4" w:space="0"/>
              <w:bottom w:val="single" w:color="auto" w:sz="4" w:space="0"/>
              <w:right w:val="single" w:color="auto" w:sz="4" w:space="0"/>
              <w:tl2br w:val="nil"/>
              <w:tr2bl w:val="nil"/>
            </w:tcBorders>
            <w:noWrap/>
            <w:vAlign w:val="center"/>
          </w:tcPr>
          <w:p w14:paraId="17BE238B">
            <w:pPr>
              <w:pStyle w:val="34"/>
              <w:bidi w:val="0"/>
              <w:rPr>
                <w:rFonts w:hint="default"/>
                <w:highlight w:val="none"/>
                <w:lang w:val="en-US"/>
              </w:rPr>
            </w:pPr>
            <w:r>
              <w:rPr>
                <w:rFonts w:hint="default"/>
                <w:highlight w:val="none"/>
                <w:lang w:val="en-US" w:eastAsia="zh-CN"/>
              </w:rPr>
              <w:t>4.78</w:t>
            </w:r>
          </w:p>
        </w:tc>
      </w:tr>
      <w:tr w14:paraId="399FF4D7">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87" w:hRule="atLeast"/>
          <w:jc w:val="center"/>
        </w:trPr>
        <w:tc>
          <w:tcPr>
            <w:tcW w:w="171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2798008">
            <w:pPr>
              <w:pStyle w:val="34"/>
              <w:bidi w:val="0"/>
              <w:rPr>
                <w:rFonts w:hint="eastAsia"/>
                <w:highlight w:val="none"/>
              </w:rPr>
            </w:pPr>
            <w:r>
              <w:rPr>
                <w:rFonts w:hint="eastAsia"/>
                <w:highlight w:val="none"/>
                <w:lang w:val="en-US" w:eastAsia="zh-CN"/>
              </w:rPr>
              <w:t>一</w:t>
            </w:r>
          </w:p>
        </w:tc>
        <w:tc>
          <w:tcPr>
            <w:tcW w:w="261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00D8F44">
            <w:pPr>
              <w:pStyle w:val="34"/>
              <w:bidi w:val="0"/>
              <w:rPr>
                <w:rFonts w:hint="eastAsia"/>
                <w:highlight w:val="none"/>
              </w:rPr>
            </w:pPr>
            <w:r>
              <w:rPr>
                <w:rFonts w:hint="eastAsia"/>
                <w:highlight w:val="none"/>
                <w:lang w:val="en-US" w:eastAsia="zh-CN"/>
              </w:rPr>
              <w:t>建设单位管理费</w:t>
            </w:r>
          </w:p>
        </w:tc>
        <w:tc>
          <w:tcPr>
            <w:tcW w:w="3223" w:type="dxa"/>
            <w:tcBorders>
              <w:top w:val="single" w:color="auto" w:sz="4" w:space="0"/>
              <w:left w:val="single" w:color="auto" w:sz="4" w:space="0"/>
              <w:bottom w:val="single" w:color="auto" w:sz="4" w:space="0"/>
              <w:right w:val="single" w:color="auto" w:sz="4" w:space="0"/>
              <w:tl2br w:val="nil"/>
              <w:tr2bl w:val="nil"/>
            </w:tcBorders>
            <w:noWrap w:val="0"/>
            <w:vAlign w:val="center"/>
          </w:tcPr>
          <w:p w14:paraId="7CCD5D0C">
            <w:pPr>
              <w:pStyle w:val="34"/>
              <w:bidi w:val="0"/>
              <w:rPr>
                <w:rFonts w:hint="eastAsia"/>
                <w:highlight w:val="none"/>
              </w:rPr>
            </w:pPr>
            <w:r>
              <w:rPr>
                <w:rFonts w:hint="eastAsia"/>
                <w:highlight w:val="none"/>
                <w:lang w:val="en-US" w:eastAsia="zh-CN"/>
              </w:rPr>
              <w:t>按一至三部分投资合计的</w:t>
            </w:r>
            <w:r>
              <w:rPr>
                <w:rFonts w:hint="default"/>
                <w:highlight w:val="none"/>
                <w:lang w:val="en-US" w:eastAsia="zh-CN"/>
              </w:rPr>
              <w:t>2.0%</w:t>
            </w:r>
          </w:p>
        </w:tc>
        <w:tc>
          <w:tcPr>
            <w:tcW w:w="1664" w:type="dxa"/>
            <w:tcBorders>
              <w:top w:val="single" w:color="auto" w:sz="4" w:space="0"/>
              <w:left w:val="single" w:color="auto" w:sz="4" w:space="0"/>
              <w:bottom w:val="single" w:color="auto" w:sz="4" w:space="0"/>
              <w:right w:val="single" w:color="auto" w:sz="4" w:space="0"/>
              <w:tl2br w:val="nil"/>
              <w:tr2bl w:val="nil"/>
            </w:tcBorders>
            <w:noWrap/>
            <w:vAlign w:val="center"/>
          </w:tcPr>
          <w:p w14:paraId="7CDE1244">
            <w:pPr>
              <w:pStyle w:val="34"/>
              <w:bidi w:val="0"/>
              <w:rPr>
                <w:rFonts w:hint="default"/>
                <w:highlight w:val="none"/>
                <w:lang w:val="en-US"/>
              </w:rPr>
            </w:pPr>
            <w:r>
              <w:rPr>
                <w:rFonts w:hint="default"/>
                <w:highlight w:val="none"/>
                <w:lang w:val="en-US" w:eastAsia="zh-CN"/>
              </w:rPr>
              <w:t>0.78</w:t>
            </w:r>
          </w:p>
        </w:tc>
      </w:tr>
      <w:tr w14:paraId="0EE5566E">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85" w:hRule="atLeast"/>
          <w:jc w:val="center"/>
        </w:trPr>
        <w:tc>
          <w:tcPr>
            <w:tcW w:w="171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0F4FD87D">
            <w:pPr>
              <w:pStyle w:val="34"/>
              <w:bidi w:val="0"/>
              <w:rPr>
                <w:rFonts w:hint="eastAsia"/>
                <w:highlight w:val="none"/>
              </w:rPr>
            </w:pPr>
            <w:r>
              <w:rPr>
                <w:rFonts w:hint="eastAsia"/>
                <w:highlight w:val="none"/>
                <w:lang w:val="en-US" w:eastAsia="zh-CN"/>
              </w:rPr>
              <w:t>二</w:t>
            </w:r>
          </w:p>
        </w:tc>
        <w:tc>
          <w:tcPr>
            <w:tcW w:w="261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DA12965">
            <w:pPr>
              <w:pStyle w:val="34"/>
              <w:bidi w:val="0"/>
              <w:rPr>
                <w:rFonts w:hint="eastAsia"/>
                <w:highlight w:val="none"/>
              </w:rPr>
            </w:pPr>
            <w:r>
              <w:rPr>
                <w:rFonts w:hint="eastAsia"/>
                <w:highlight w:val="none"/>
                <w:lang w:val="en-US" w:eastAsia="zh-CN"/>
              </w:rPr>
              <w:t>科研勘测设计费</w:t>
            </w:r>
          </w:p>
        </w:tc>
        <w:tc>
          <w:tcPr>
            <w:tcW w:w="3223" w:type="dxa"/>
            <w:vMerge w:val="restart"/>
            <w:tcBorders>
              <w:top w:val="single" w:color="auto" w:sz="4" w:space="0"/>
              <w:left w:val="single" w:color="auto" w:sz="4" w:space="0"/>
              <w:bottom w:val="single" w:color="auto" w:sz="4" w:space="0"/>
              <w:right w:val="single" w:color="auto" w:sz="4" w:space="0"/>
              <w:tl2br w:val="nil"/>
              <w:tr2bl w:val="nil"/>
            </w:tcBorders>
            <w:noWrap w:val="0"/>
            <w:vAlign w:val="center"/>
          </w:tcPr>
          <w:p w14:paraId="687D9620">
            <w:pPr>
              <w:pStyle w:val="34"/>
              <w:bidi w:val="0"/>
              <w:rPr>
                <w:rFonts w:hint="eastAsia"/>
                <w:highlight w:val="none"/>
              </w:rPr>
            </w:pPr>
            <w:r>
              <w:rPr>
                <w:rFonts w:hint="eastAsia"/>
                <w:highlight w:val="none"/>
                <w:lang w:val="en-US" w:eastAsia="zh-CN"/>
              </w:rPr>
              <w:t>根据《四川省水利水电工程设计概（估）算编制规定》，结合项目的规模和实际情况计列</w:t>
            </w:r>
          </w:p>
        </w:tc>
        <w:tc>
          <w:tcPr>
            <w:tcW w:w="1664" w:type="dxa"/>
            <w:tcBorders>
              <w:top w:val="single" w:color="auto" w:sz="4" w:space="0"/>
              <w:left w:val="single" w:color="auto" w:sz="4" w:space="0"/>
              <w:bottom w:val="single" w:color="auto" w:sz="4" w:space="0"/>
              <w:right w:val="single" w:color="auto" w:sz="4" w:space="0"/>
              <w:tl2br w:val="nil"/>
              <w:tr2bl w:val="nil"/>
            </w:tcBorders>
            <w:noWrap/>
            <w:vAlign w:val="center"/>
          </w:tcPr>
          <w:p w14:paraId="1D94C8E0">
            <w:pPr>
              <w:pStyle w:val="34"/>
              <w:bidi w:val="0"/>
              <w:rPr>
                <w:rFonts w:hint="default"/>
                <w:highlight w:val="none"/>
              </w:rPr>
            </w:pPr>
            <w:r>
              <w:rPr>
                <w:rFonts w:hint="default"/>
                <w:highlight w:val="none"/>
                <w:lang w:val="en-US" w:eastAsia="zh-CN"/>
              </w:rPr>
              <w:t>2.5</w:t>
            </w:r>
          </w:p>
        </w:tc>
      </w:tr>
      <w:tr w14:paraId="40AB5E4C">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85" w:hRule="atLeast"/>
          <w:jc w:val="center"/>
        </w:trPr>
        <w:tc>
          <w:tcPr>
            <w:tcW w:w="171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2D5C0582">
            <w:pPr>
              <w:pStyle w:val="34"/>
              <w:bidi w:val="0"/>
              <w:rPr>
                <w:rFonts w:hint="eastAsia"/>
                <w:highlight w:val="none"/>
              </w:rPr>
            </w:pPr>
            <w:r>
              <w:rPr>
                <w:rFonts w:hint="eastAsia"/>
                <w:highlight w:val="none"/>
                <w:lang w:val="en-US" w:eastAsia="zh-CN"/>
              </w:rPr>
              <w:t>三</w:t>
            </w:r>
          </w:p>
        </w:tc>
        <w:tc>
          <w:tcPr>
            <w:tcW w:w="261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166360DE">
            <w:pPr>
              <w:pStyle w:val="34"/>
              <w:bidi w:val="0"/>
              <w:rPr>
                <w:rFonts w:hint="eastAsia"/>
                <w:highlight w:val="none"/>
              </w:rPr>
            </w:pPr>
            <w:r>
              <w:rPr>
                <w:rFonts w:hint="eastAsia"/>
                <w:highlight w:val="none"/>
                <w:lang w:val="en-US" w:eastAsia="zh-CN"/>
              </w:rPr>
              <w:t>水土保持监理费</w:t>
            </w:r>
          </w:p>
        </w:tc>
        <w:tc>
          <w:tcPr>
            <w:tcW w:w="3223"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5A2CE98B">
            <w:pPr>
              <w:pStyle w:val="34"/>
              <w:bidi w:val="0"/>
              <w:rPr>
                <w:rFonts w:hint="eastAsia"/>
                <w:highlight w:val="none"/>
              </w:rPr>
            </w:pPr>
          </w:p>
        </w:tc>
        <w:tc>
          <w:tcPr>
            <w:tcW w:w="1664" w:type="dxa"/>
            <w:tcBorders>
              <w:top w:val="single" w:color="auto" w:sz="4" w:space="0"/>
              <w:left w:val="single" w:color="auto" w:sz="4" w:space="0"/>
              <w:bottom w:val="single" w:color="auto" w:sz="4" w:space="0"/>
              <w:right w:val="single" w:color="auto" w:sz="4" w:space="0"/>
              <w:tl2br w:val="nil"/>
              <w:tr2bl w:val="nil"/>
            </w:tcBorders>
            <w:noWrap/>
            <w:vAlign w:val="center"/>
          </w:tcPr>
          <w:p w14:paraId="4DE395EB">
            <w:pPr>
              <w:pStyle w:val="34"/>
              <w:bidi w:val="0"/>
              <w:rPr>
                <w:rFonts w:hint="default"/>
                <w:highlight w:val="none"/>
              </w:rPr>
            </w:pPr>
            <w:r>
              <w:rPr>
                <w:rFonts w:hint="default"/>
                <w:highlight w:val="none"/>
                <w:lang w:val="en-US" w:eastAsia="zh-CN"/>
              </w:rPr>
              <w:t>0</w:t>
            </w:r>
          </w:p>
        </w:tc>
      </w:tr>
      <w:tr w14:paraId="7C5486CD">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82" w:hRule="atLeast"/>
          <w:jc w:val="center"/>
        </w:trPr>
        <w:tc>
          <w:tcPr>
            <w:tcW w:w="171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E9BE25D">
            <w:pPr>
              <w:pStyle w:val="34"/>
              <w:bidi w:val="0"/>
              <w:rPr>
                <w:rFonts w:hint="eastAsia"/>
                <w:highlight w:val="none"/>
              </w:rPr>
            </w:pPr>
            <w:r>
              <w:rPr>
                <w:rFonts w:hint="eastAsia"/>
                <w:highlight w:val="none"/>
                <w:lang w:val="en-US" w:eastAsia="zh-CN"/>
              </w:rPr>
              <w:t>四</w:t>
            </w:r>
          </w:p>
        </w:tc>
        <w:tc>
          <w:tcPr>
            <w:tcW w:w="2617" w:type="dxa"/>
            <w:tcBorders>
              <w:top w:val="single" w:color="auto" w:sz="4" w:space="0"/>
              <w:left w:val="single" w:color="auto" w:sz="4" w:space="0"/>
              <w:bottom w:val="single" w:color="auto" w:sz="4" w:space="0"/>
              <w:right w:val="single" w:color="auto" w:sz="4" w:space="0"/>
              <w:tl2br w:val="nil"/>
              <w:tr2bl w:val="nil"/>
            </w:tcBorders>
            <w:noWrap w:val="0"/>
            <w:vAlign w:val="center"/>
          </w:tcPr>
          <w:p w14:paraId="41CB3D2C">
            <w:pPr>
              <w:pStyle w:val="34"/>
              <w:bidi w:val="0"/>
              <w:rPr>
                <w:rFonts w:hint="eastAsia"/>
                <w:highlight w:val="none"/>
              </w:rPr>
            </w:pPr>
            <w:r>
              <w:rPr>
                <w:rFonts w:hint="eastAsia"/>
                <w:highlight w:val="none"/>
                <w:lang w:val="en-US" w:eastAsia="zh-CN"/>
              </w:rPr>
              <w:t>水土保持设施验收费</w:t>
            </w:r>
          </w:p>
        </w:tc>
        <w:tc>
          <w:tcPr>
            <w:tcW w:w="3223"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07ACE06C">
            <w:pPr>
              <w:pStyle w:val="34"/>
              <w:bidi w:val="0"/>
              <w:rPr>
                <w:rFonts w:hint="eastAsia"/>
                <w:highlight w:val="none"/>
              </w:rPr>
            </w:pPr>
          </w:p>
        </w:tc>
        <w:tc>
          <w:tcPr>
            <w:tcW w:w="1664" w:type="dxa"/>
            <w:tcBorders>
              <w:top w:val="single" w:color="auto" w:sz="4" w:space="0"/>
              <w:left w:val="single" w:color="auto" w:sz="4" w:space="0"/>
              <w:bottom w:val="single" w:color="auto" w:sz="4" w:space="0"/>
              <w:right w:val="single" w:color="auto" w:sz="4" w:space="0"/>
              <w:tl2br w:val="nil"/>
              <w:tr2bl w:val="nil"/>
            </w:tcBorders>
            <w:noWrap/>
            <w:vAlign w:val="center"/>
          </w:tcPr>
          <w:p w14:paraId="28F5112E">
            <w:pPr>
              <w:pStyle w:val="34"/>
              <w:bidi w:val="0"/>
              <w:rPr>
                <w:rFonts w:hint="default"/>
                <w:highlight w:val="none"/>
              </w:rPr>
            </w:pPr>
            <w:r>
              <w:rPr>
                <w:rFonts w:hint="default"/>
                <w:highlight w:val="none"/>
                <w:lang w:val="en-US" w:eastAsia="zh-CN"/>
              </w:rPr>
              <w:t>1.5</w:t>
            </w:r>
          </w:p>
        </w:tc>
      </w:tr>
      <w:tr w14:paraId="7F4B7A2F">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85" w:hRule="atLeast"/>
          <w:jc w:val="center"/>
        </w:trPr>
        <w:tc>
          <w:tcPr>
            <w:tcW w:w="1716" w:type="dxa"/>
            <w:tcBorders>
              <w:top w:val="single" w:color="auto" w:sz="4" w:space="0"/>
              <w:left w:val="single" w:color="auto" w:sz="4" w:space="0"/>
              <w:bottom w:val="single" w:color="auto" w:sz="4" w:space="0"/>
              <w:right w:val="single" w:color="auto" w:sz="4" w:space="0"/>
              <w:tl2br w:val="nil"/>
              <w:tr2bl w:val="nil"/>
            </w:tcBorders>
            <w:noWrap w:val="0"/>
            <w:vAlign w:val="center"/>
          </w:tcPr>
          <w:p w14:paraId="62FF1CE5">
            <w:pPr>
              <w:pStyle w:val="34"/>
              <w:bidi w:val="0"/>
              <w:rPr>
                <w:rFonts w:hint="eastAsia"/>
                <w:highlight w:val="none"/>
              </w:rPr>
            </w:pPr>
            <w:r>
              <w:rPr>
                <w:rFonts w:hint="eastAsia"/>
                <w:highlight w:val="none"/>
                <w:lang w:val="en-US" w:eastAsia="zh-CN"/>
              </w:rPr>
              <w:t>五</w:t>
            </w:r>
          </w:p>
        </w:tc>
        <w:tc>
          <w:tcPr>
            <w:tcW w:w="2617" w:type="dxa"/>
            <w:tcBorders>
              <w:top w:val="single" w:color="auto" w:sz="4" w:space="0"/>
              <w:left w:val="single" w:color="auto" w:sz="4" w:space="0"/>
              <w:bottom w:val="single" w:color="auto" w:sz="4" w:space="0"/>
              <w:right w:val="single" w:color="auto" w:sz="4" w:space="0"/>
              <w:tl2br w:val="nil"/>
              <w:tr2bl w:val="nil"/>
            </w:tcBorders>
            <w:noWrap/>
            <w:vAlign w:val="center"/>
          </w:tcPr>
          <w:p w14:paraId="07884AE7">
            <w:pPr>
              <w:pStyle w:val="34"/>
              <w:bidi w:val="0"/>
              <w:rPr>
                <w:rFonts w:hint="eastAsia"/>
                <w:highlight w:val="none"/>
              </w:rPr>
            </w:pPr>
            <w:r>
              <w:rPr>
                <w:rFonts w:hint="eastAsia"/>
                <w:highlight w:val="none"/>
                <w:lang w:val="en-US" w:eastAsia="zh-CN"/>
              </w:rPr>
              <w:t>经济技术咨询费</w:t>
            </w:r>
          </w:p>
        </w:tc>
        <w:tc>
          <w:tcPr>
            <w:tcW w:w="3223" w:type="dxa"/>
            <w:vMerge w:val="continue"/>
            <w:tcBorders>
              <w:top w:val="single" w:color="auto" w:sz="4" w:space="0"/>
              <w:left w:val="single" w:color="auto" w:sz="4" w:space="0"/>
              <w:bottom w:val="single" w:color="auto" w:sz="4" w:space="0"/>
              <w:right w:val="single" w:color="auto" w:sz="4" w:space="0"/>
              <w:tl2br w:val="nil"/>
              <w:tr2bl w:val="nil"/>
            </w:tcBorders>
            <w:noWrap w:val="0"/>
            <w:vAlign w:val="center"/>
          </w:tcPr>
          <w:p w14:paraId="24CBCBEE">
            <w:pPr>
              <w:pStyle w:val="34"/>
              <w:bidi w:val="0"/>
              <w:rPr>
                <w:rFonts w:hint="eastAsia"/>
                <w:highlight w:val="none"/>
              </w:rPr>
            </w:pPr>
          </w:p>
        </w:tc>
        <w:tc>
          <w:tcPr>
            <w:tcW w:w="1728" w:type="dxa"/>
            <w:tcBorders>
              <w:top w:val="single" w:color="auto" w:sz="4" w:space="0"/>
              <w:left w:val="single" w:color="auto" w:sz="4" w:space="0"/>
              <w:bottom w:val="single" w:color="auto" w:sz="4" w:space="0"/>
              <w:right w:val="single" w:color="auto" w:sz="4" w:space="0"/>
              <w:tl2br w:val="nil"/>
              <w:tr2bl w:val="nil"/>
            </w:tcBorders>
            <w:noWrap/>
            <w:vAlign w:val="center"/>
          </w:tcPr>
          <w:p w14:paraId="1B775BB9">
            <w:pPr>
              <w:pStyle w:val="34"/>
              <w:bidi w:val="0"/>
              <w:rPr>
                <w:rFonts w:hint="default"/>
                <w:highlight w:val="none"/>
              </w:rPr>
            </w:pPr>
            <w:r>
              <w:rPr>
                <w:rFonts w:hint="default"/>
                <w:highlight w:val="none"/>
                <w:lang w:val="en-US" w:eastAsia="zh-CN"/>
              </w:rPr>
              <w:t>/</w:t>
            </w:r>
          </w:p>
        </w:tc>
      </w:tr>
    </w:tbl>
    <w:p w14:paraId="3766D3A7">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eastAsia="仿宋_GB2312"/>
          <w:b/>
          <w:bCs/>
          <w:color w:val="0000FF"/>
        </w:rPr>
      </w:pPr>
    </w:p>
    <w:p w14:paraId="5556681C">
      <w:pPr>
        <w:pStyle w:val="35"/>
        <w:bidi w:val="0"/>
      </w:pPr>
      <w:r>
        <w:t>表7.1-</w:t>
      </w:r>
      <w:r>
        <w:rPr>
          <w:rFonts w:hint="eastAsia"/>
          <w:lang w:val="en-US" w:eastAsia="zh-CN"/>
        </w:rPr>
        <w:t>7</w:t>
      </w:r>
      <w:r>
        <w:t xml:space="preserve">  </w:t>
      </w:r>
      <w:r>
        <w:rPr>
          <w:rFonts w:hint="eastAsia"/>
          <w:lang w:val="en-US" w:eastAsia="zh-CN"/>
        </w:rPr>
        <w:t>水土保持补偿费计算</w:t>
      </w:r>
      <w:r>
        <w:t>表</w:t>
      </w:r>
    </w:p>
    <w:tbl>
      <w:tblPr>
        <w:tblStyle w:val="2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491"/>
        <w:gridCol w:w="2228"/>
        <w:gridCol w:w="2987"/>
        <w:gridCol w:w="2392"/>
      </w:tblGrid>
      <w:tr w14:paraId="0B848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0" w:hRule="atLeast"/>
        </w:trPr>
        <w:tc>
          <w:tcPr>
            <w:tcW w:w="819" w:type="pct"/>
            <w:tcBorders>
              <w:tl2br w:val="nil"/>
              <w:tr2bl w:val="nil"/>
            </w:tcBorders>
            <w:noWrap w:val="0"/>
            <w:tcMar>
              <w:top w:w="15" w:type="dxa"/>
              <w:left w:w="15" w:type="dxa"/>
              <w:right w:w="15" w:type="dxa"/>
            </w:tcMar>
            <w:vAlign w:val="center"/>
          </w:tcPr>
          <w:p w14:paraId="1AF1CD4B">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rPr>
            </w:pPr>
            <w:r>
              <w:rPr>
                <w:rFonts w:hint="default" w:ascii="Times New Roman" w:hAnsi="Times New Roman" w:eastAsia="仿宋_GB2312" w:cs="Times New Roman"/>
                <w:i w:val="0"/>
                <w:color w:val="auto"/>
                <w:kern w:val="0"/>
                <w:sz w:val="18"/>
                <w:szCs w:val="18"/>
                <w:u w:val="none"/>
                <w:lang w:val="en-US" w:eastAsia="zh-CN" w:bidi="ar"/>
              </w:rPr>
              <w:t>行政区</w:t>
            </w:r>
          </w:p>
        </w:tc>
        <w:tc>
          <w:tcPr>
            <w:tcW w:w="1224" w:type="pct"/>
            <w:tcBorders>
              <w:tl2br w:val="nil"/>
              <w:tr2bl w:val="nil"/>
            </w:tcBorders>
            <w:noWrap w:val="0"/>
            <w:tcMar>
              <w:top w:w="15" w:type="dxa"/>
              <w:left w:w="15" w:type="dxa"/>
              <w:right w:w="15" w:type="dxa"/>
            </w:tcMar>
            <w:vAlign w:val="center"/>
          </w:tcPr>
          <w:p w14:paraId="026C15B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rPr>
            </w:pPr>
            <w:r>
              <w:rPr>
                <w:rFonts w:hint="default" w:ascii="Times New Roman" w:hAnsi="Times New Roman" w:eastAsia="仿宋_GB2312" w:cs="Times New Roman"/>
                <w:i w:val="0"/>
                <w:color w:val="auto"/>
                <w:kern w:val="0"/>
                <w:sz w:val="18"/>
                <w:szCs w:val="18"/>
                <w:u w:val="none"/>
                <w:lang w:val="en-US" w:eastAsia="zh-CN" w:bidi="ar"/>
              </w:rPr>
              <w:t>工程征占地面积（</w:t>
            </w:r>
            <w:r>
              <w:rPr>
                <w:rFonts w:hint="eastAsia" w:ascii="Times New Roman" w:hAnsi="Times New Roman" w:cs="Times New Roman"/>
                <w:i w:val="0"/>
                <w:color w:val="auto"/>
                <w:kern w:val="0"/>
                <w:sz w:val="18"/>
                <w:szCs w:val="18"/>
                <w:u w:val="none"/>
                <w:lang w:val="en-US" w:eastAsia="zh-CN" w:bidi="ar"/>
              </w:rPr>
              <w:t>m</w:t>
            </w:r>
            <w:r>
              <w:rPr>
                <w:rFonts w:hint="eastAsia" w:ascii="Times New Roman" w:hAnsi="Times New Roman" w:cs="Times New Roman"/>
                <w:i w:val="0"/>
                <w:color w:val="auto"/>
                <w:kern w:val="0"/>
                <w:sz w:val="18"/>
                <w:szCs w:val="18"/>
                <w:u w:val="none"/>
                <w:vertAlign w:val="superscript"/>
                <w:lang w:val="en-US" w:eastAsia="zh-CN" w:bidi="ar"/>
              </w:rPr>
              <w:t>2</w:t>
            </w:r>
            <w:r>
              <w:rPr>
                <w:rFonts w:hint="default" w:ascii="Times New Roman" w:hAnsi="Times New Roman" w:eastAsia="仿宋_GB2312" w:cs="Times New Roman"/>
                <w:i w:val="0"/>
                <w:color w:val="auto"/>
                <w:kern w:val="0"/>
                <w:sz w:val="18"/>
                <w:szCs w:val="18"/>
                <w:u w:val="none"/>
                <w:lang w:val="en-US" w:eastAsia="zh-CN" w:bidi="ar"/>
              </w:rPr>
              <w:t>）</w:t>
            </w:r>
          </w:p>
        </w:tc>
        <w:tc>
          <w:tcPr>
            <w:tcW w:w="1641" w:type="pct"/>
            <w:tcBorders>
              <w:tl2br w:val="nil"/>
              <w:tr2bl w:val="nil"/>
            </w:tcBorders>
            <w:noWrap w:val="0"/>
            <w:tcMar>
              <w:top w:w="15" w:type="dxa"/>
              <w:left w:w="15" w:type="dxa"/>
              <w:right w:w="15" w:type="dxa"/>
            </w:tcMar>
            <w:vAlign w:val="center"/>
          </w:tcPr>
          <w:p w14:paraId="3B9D3A19">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rPr>
            </w:pPr>
            <w:r>
              <w:rPr>
                <w:rFonts w:hint="default" w:ascii="Times New Roman" w:hAnsi="Times New Roman" w:eastAsia="仿宋_GB2312" w:cs="Times New Roman"/>
                <w:i w:val="0"/>
                <w:color w:val="auto"/>
                <w:kern w:val="0"/>
                <w:sz w:val="18"/>
                <w:szCs w:val="18"/>
                <w:u w:val="none"/>
                <w:lang w:val="en-US" w:eastAsia="zh-CN" w:bidi="ar"/>
              </w:rPr>
              <w:t>征收标准（元/</w:t>
            </w:r>
            <w:r>
              <w:rPr>
                <w:rFonts w:hint="eastAsia" w:ascii="Times New Roman" w:hAnsi="Times New Roman" w:cs="Times New Roman"/>
                <w:i w:val="0"/>
                <w:color w:val="auto"/>
                <w:kern w:val="0"/>
                <w:sz w:val="18"/>
                <w:szCs w:val="18"/>
                <w:u w:val="none"/>
                <w:lang w:val="en-US" w:eastAsia="zh-CN" w:bidi="ar"/>
              </w:rPr>
              <w:t>m</w:t>
            </w:r>
            <w:r>
              <w:rPr>
                <w:rFonts w:hint="eastAsia" w:ascii="Times New Roman" w:hAnsi="Times New Roman" w:cs="Times New Roman"/>
                <w:i w:val="0"/>
                <w:color w:val="auto"/>
                <w:kern w:val="0"/>
                <w:sz w:val="18"/>
                <w:szCs w:val="18"/>
                <w:u w:val="none"/>
                <w:vertAlign w:val="superscript"/>
                <w:lang w:val="en-US" w:eastAsia="zh-CN" w:bidi="ar"/>
              </w:rPr>
              <w:t>2</w:t>
            </w:r>
            <w:r>
              <w:rPr>
                <w:rFonts w:hint="default" w:ascii="Times New Roman" w:hAnsi="Times New Roman" w:eastAsia="仿宋_GB2312" w:cs="Times New Roman"/>
                <w:i w:val="0"/>
                <w:color w:val="auto"/>
                <w:kern w:val="0"/>
                <w:sz w:val="18"/>
                <w:szCs w:val="18"/>
                <w:u w:val="none"/>
                <w:lang w:val="en-US" w:eastAsia="zh-CN" w:bidi="ar"/>
              </w:rPr>
              <w:t>）</w:t>
            </w:r>
          </w:p>
        </w:tc>
        <w:tc>
          <w:tcPr>
            <w:tcW w:w="1314" w:type="pct"/>
            <w:tcBorders>
              <w:tl2br w:val="nil"/>
              <w:tr2bl w:val="nil"/>
            </w:tcBorders>
            <w:noWrap w:val="0"/>
            <w:tcMar>
              <w:top w:w="15" w:type="dxa"/>
              <w:left w:w="15" w:type="dxa"/>
              <w:right w:w="15" w:type="dxa"/>
            </w:tcMar>
            <w:vAlign w:val="center"/>
          </w:tcPr>
          <w:p w14:paraId="5741EF5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rPr>
            </w:pPr>
            <w:r>
              <w:rPr>
                <w:rFonts w:hint="default" w:ascii="Times New Roman" w:hAnsi="Times New Roman" w:eastAsia="仿宋_GB2312" w:cs="Times New Roman"/>
                <w:i w:val="0"/>
                <w:color w:val="auto"/>
                <w:kern w:val="0"/>
                <w:sz w:val="18"/>
                <w:szCs w:val="18"/>
                <w:u w:val="none"/>
                <w:lang w:val="en-US" w:eastAsia="zh-CN" w:bidi="ar"/>
              </w:rPr>
              <w:t>水土保持保持补偿费</w:t>
            </w:r>
          </w:p>
        </w:tc>
      </w:tr>
      <w:tr w14:paraId="6528A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0" w:hRule="atLeast"/>
        </w:trPr>
        <w:tc>
          <w:tcPr>
            <w:tcW w:w="819" w:type="pct"/>
            <w:tcBorders>
              <w:tl2br w:val="nil"/>
              <w:tr2bl w:val="nil"/>
            </w:tcBorders>
            <w:noWrap w:val="0"/>
            <w:tcMar>
              <w:top w:w="15" w:type="dxa"/>
              <w:left w:w="15" w:type="dxa"/>
              <w:right w:w="15" w:type="dxa"/>
            </w:tcMar>
            <w:vAlign w:val="center"/>
          </w:tcPr>
          <w:p w14:paraId="05C51C9A">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lang w:val="en-US" w:eastAsia="zh-CN"/>
              </w:rPr>
            </w:pPr>
            <w:r>
              <w:rPr>
                <w:rFonts w:hint="eastAsia" w:cs="Times New Roman"/>
                <w:i w:val="0"/>
                <w:color w:val="auto"/>
                <w:sz w:val="18"/>
                <w:szCs w:val="18"/>
                <w:u w:val="none"/>
                <w:lang w:val="en-US" w:eastAsia="zh-CN"/>
              </w:rPr>
              <w:t>雅安市</w:t>
            </w:r>
          </w:p>
        </w:tc>
        <w:tc>
          <w:tcPr>
            <w:tcW w:w="1224" w:type="pct"/>
            <w:tcBorders>
              <w:tl2br w:val="nil"/>
              <w:tr2bl w:val="nil"/>
            </w:tcBorders>
            <w:noWrap w:val="0"/>
            <w:tcMar>
              <w:top w:w="15" w:type="dxa"/>
              <w:left w:w="15" w:type="dxa"/>
              <w:right w:w="15" w:type="dxa"/>
            </w:tcMar>
            <w:vAlign w:val="center"/>
          </w:tcPr>
          <w:p w14:paraId="1CAB485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lang w:val="en-US"/>
              </w:rPr>
            </w:pPr>
            <w:r>
              <w:rPr>
                <w:rFonts w:hint="eastAsia" w:cs="Times New Roman"/>
                <w:i w:val="0"/>
                <w:color w:val="auto"/>
                <w:kern w:val="0"/>
                <w:sz w:val="18"/>
                <w:szCs w:val="18"/>
                <w:u w:val="none"/>
                <w:lang w:val="en-US" w:eastAsia="zh-CN" w:bidi="ar"/>
              </w:rPr>
              <w:t>36623.86</w:t>
            </w:r>
          </w:p>
        </w:tc>
        <w:tc>
          <w:tcPr>
            <w:tcW w:w="1641" w:type="pct"/>
            <w:tcBorders>
              <w:tl2br w:val="nil"/>
              <w:tr2bl w:val="nil"/>
            </w:tcBorders>
            <w:noWrap w:val="0"/>
            <w:tcMar>
              <w:top w:w="15" w:type="dxa"/>
              <w:left w:w="15" w:type="dxa"/>
              <w:right w:w="15" w:type="dxa"/>
            </w:tcMar>
            <w:vAlign w:val="center"/>
          </w:tcPr>
          <w:p w14:paraId="2FF41D16">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rPr>
            </w:pPr>
            <w:r>
              <w:rPr>
                <w:rFonts w:hint="default" w:ascii="Times New Roman" w:hAnsi="Times New Roman" w:eastAsia="仿宋_GB2312" w:cs="Times New Roman"/>
                <w:i w:val="0"/>
                <w:color w:val="auto"/>
                <w:kern w:val="0"/>
                <w:sz w:val="18"/>
                <w:szCs w:val="18"/>
                <w:u w:val="none"/>
                <w:lang w:val="en-US" w:eastAsia="zh-CN" w:bidi="ar"/>
              </w:rPr>
              <w:t>1.3</w:t>
            </w:r>
          </w:p>
        </w:tc>
        <w:tc>
          <w:tcPr>
            <w:tcW w:w="1314" w:type="pct"/>
            <w:tcBorders>
              <w:tl2br w:val="nil"/>
              <w:tr2bl w:val="nil"/>
            </w:tcBorders>
            <w:noWrap w:val="0"/>
            <w:tcMar>
              <w:top w:w="15" w:type="dxa"/>
              <w:left w:w="15" w:type="dxa"/>
              <w:right w:w="15" w:type="dxa"/>
            </w:tcMar>
            <w:vAlign w:val="center"/>
          </w:tcPr>
          <w:p w14:paraId="54FCCB54">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default" w:ascii="Times New Roman" w:hAnsi="Times New Roman" w:eastAsia="仿宋_GB2312" w:cs="Times New Roman"/>
                <w:i w:val="0"/>
                <w:color w:val="auto"/>
                <w:sz w:val="18"/>
                <w:szCs w:val="18"/>
                <w:u w:val="none"/>
                <w:lang w:val="en-US"/>
              </w:rPr>
            </w:pPr>
            <w:r>
              <w:rPr>
                <w:rFonts w:hint="eastAsia" w:cs="Times New Roman"/>
                <w:i w:val="0"/>
                <w:color w:val="auto"/>
                <w:kern w:val="0"/>
                <w:sz w:val="18"/>
                <w:szCs w:val="18"/>
                <w:u w:val="none"/>
                <w:lang w:val="en-US" w:eastAsia="zh-CN" w:bidi="ar"/>
              </w:rPr>
              <w:t>4.761万元（47611.02元）</w:t>
            </w:r>
          </w:p>
        </w:tc>
      </w:tr>
    </w:tbl>
    <w:p w14:paraId="3D47BD8A">
      <w:pPr>
        <w:keepNext/>
        <w:keepLines w:val="0"/>
        <w:pageBreakBefore w:val="0"/>
        <w:kinsoku/>
        <w:wordWrap/>
        <w:overflowPunct/>
        <w:topLinePunct w:val="0"/>
        <w:autoSpaceDE/>
        <w:autoSpaceDN/>
        <w:bidi w:val="0"/>
        <w:adjustRightInd/>
        <w:snapToGrid/>
        <w:spacing w:line="240" w:lineRule="auto"/>
        <w:ind w:firstLine="0" w:firstLineChars="0"/>
        <w:jc w:val="center"/>
        <w:rPr>
          <w:rFonts w:eastAsia="仿宋_GB2312"/>
          <w:b/>
          <w:bCs/>
          <w:color w:val="0000FF"/>
        </w:rPr>
      </w:pPr>
    </w:p>
    <w:p w14:paraId="6B3150F2">
      <w:pPr>
        <w:pStyle w:val="35"/>
        <w:bidi w:val="0"/>
      </w:pPr>
      <w:r>
        <w:t>表7.1</w:t>
      </w:r>
      <w:r>
        <w:rPr>
          <w:rFonts w:hint="eastAsia"/>
          <w:lang w:val="en-US" w:eastAsia="zh-CN"/>
        </w:rPr>
        <w:t>-8</w:t>
      </w:r>
      <w:r>
        <w:t xml:space="preserve"> 措施单价汇总表</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9"/>
        <w:gridCol w:w="843"/>
        <w:gridCol w:w="697"/>
        <w:gridCol w:w="930"/>
        <w:gridCol w:w="920"/>
        <w:gridCol w:w="800"/>
        <w:gridCol w:w="680"/>
        <w:gridCol w:w="760"/>
        <w:gridCol w:w="770"/>
        <w:gridCol w:w="730"/>
        <w:gridCol w:w="780"/>
        <w:gridCol w:w="789"/>
      </w:tblGrid>
      <w:tr w14:paraId="5D6B03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5000" w:type="pct"/>
            <w:gridSpan w:val="12"/>
            <w:tcBorders>
              <w:tl2br w:val="nil"/>
              <w:tr2bl w:val="nil"/>
            </w:tcBorders>
            <w:noWrap/>
            <w:vAlign w:val="center"/>
          </w:tcPr>
          <w:p w14:paraId="59C59440">
            <w:pPr>
              <w:pStyle w:val="34"/>
              <w:bidi w:val="0"/>
              <w:rPr>
                <w:rFonts w:hint="default"/>
              </w:rPr>
            </w:pPr>
            <w:r>
              <w:rPr>
                <w:rFonts w:hint="default"/>
                <w:lang w:val="en-US" w:eastAsia="zh-CN"/>
              </w:rPr>
              <w:t>单价汇总表</w:t>
            </w:r>
          </w:p>
        </w:tc>
      </w:tr>
      <w:tr w14:paraId="5507D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17" w:type="pct"/>
            <w:vMerge w:val="restart"/>
            <w:tcBorders>
              <w:tl2br w:val="nil"/>
              <w:tr2bl w:val="nil"/>
            </w:tcBorders>
            <w:noWrap w:val="0"/>
            <w:vAlign w:val="center"/>
          </w:tcPr>
          <w:p w14:paraId="776F3F45">
            <w:pPr>
              <w:pStyle w:val="34"/>
              <w:bidi w:val="0"/>
              <w:rPr>
                <w:rFonts w:hint="default"/>
              </w:rPr>
            </w:pPr>
            <w:r>
              <w:rPr>
                <w:rFonts w:hint="default"/>
                <w:lang w:val="en-US" w:eastAsia="zh-CN"/>
              </w:rPr>
              <w:t>定额编号</w:t>
            </w:r>
          </w:p>
        </w:tc>
        <w:tc>
          <w:tcPr>
            <w:tcW w:w="453" w:type="pct"/>
            <w:vMerge w:val="restart"/>
            <w:tcBorders>
              <w:tl2br w:val="nil"/>
              <w:tr2bl w:val="nil"/>
            </w:tcBorders>
            <w:noWrap w:val="0"/>
            <w:vAlign w:val="center"/>
          </w:tcPr>
          <w:p w14:paraId="7102EB40">
            <w:pPr>
              <w:pStyle w:val="34"/>
              <w:bidi w:val="0"/>
              <w:rPr>
                <w:rFonts w:hint="default"/>
              </w:rPr>
            </w:pPr>
            <w:r>
              <w:rPr>
                <w:rFonts w:hint="default"/>
                <w:lang w:val="en-US" w:eastAsia="zh-CN"/>
              </w:rPr>
              <w:t>项目名称</w:t>
            </w:r>
          </w:p>
        </w:tc>
        <w:tc>
          <w:tcPr>
            <w:tcW w:w="375" w:type="pct"/>
            <w:vMerge w:val="restart"/>
            <w:tcBorders>
              <w:tl2br w:val="nil"/>
              <w:tr2bl w:val="nil"/>
            </w:tcBorders>
            <w:noWrap w:val="0"/>
            <w:vAlign w:val="center"/>
          </w:tcPr>
          <w:p w14:paraId="42964B64">
            <w:pPr>
              <w:pStyle w:val="34"/>
              <w:bidi w:val="0"/>
              <w:rPr>
                <w:rFonts w:hint="default"/>
              </w:rPr>
            </w:pPr>
            <w:r>
              <w:rPr>
                <w:rFonts w:hint="default"/>
                <w:lang w:val="en-US" w:eastAsia="zh-CN"/>
              </w:rPr>
              <w:t>单位</w:t>
            </w:r>
          </w:p>
        </w:tc>
        <w:tc>
          <w:tcPr>
            <w:tcW w:w="500" w:type="pct"/>
            <w:vMerge w:val="restart"/>
            <w:tcBorders>
              <w:tl2br w:val="nil"/>
              <w:tr2bl w:val="nil"/>
            </w:tcBorders>
            <w:noWrap w:val="0"/>
            <w:vAlign w:val="center"/>
          </w:tcPr>
          <w:p w14:paraId="7FEFF752">
            <w:pPr>
              <w:pStyle w:val="34"/>
              <w:bidi w:val="0"/>
              <w:rPr>
                <w:rFonts w:hint="default"/>
              </w:rPr>
            </w:pPr>
            <w:r>
              <w:rPr>
                <w:rFonts w:hint="default"/>
                <w:lang w:val="en-US" w:eastAsia="zh-CN"/>
              </w:rPr>
              <w:t>单价</w:t>
            </w:r>
          </w:p>
        </w:tc>
        <w:tc>
          <w:tcPr>
            <w:tcW w:w="3353" w:type="pct"/>
            <w:gridSpan w:val="8"/>
            <w:tcBorders>
              <w:tl2br w:val="nil"/>
              <w:tr2bl w:val="nil"/>
            </w:tcBorders>
            <w:noWrap w:val="0"/>
            <w:vAlign w:val="center"/>
          </w:tcPr>
          <w:p w14:paraId="187FF04B">
            <w:pPr>
              <w:pStyle w:val="34"/>
              <w:bidi w:val="0"/>
              <w:rPr>
                <w:rFonts w:hint="default"/>
              </w:rPr>
            </w:pPr>
            <w:r>
              <w:rPr>
                <w:rFonts w:hint="default"/>
                <w:lang w:val="en-US" w:eastAsia="zh-CN"/>
              </w:rPr>
              <w:t>其中</w:t>
            </w:r>
          </w:p>
        </w:tc>
      </w:tr>
      <w:tr w14:paraId="3C8BA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17" w:type="pct"/>
            <w:vMerge w:val="continue"/>
            <w:tcBorders>
              <w:tl2br w:val="nil"/>
              <w:tr2bl w:val="nil"/>
            </w:tcBorders>
            <w:noWrap w:val="0"/>
            <w:vAlign w:val="center"/>
          </w:tcPr>
          <w:p w14:paraId="09BA02E4">
            <w:pPr>
              <w:pStyle w:val="34"/>
              <w:bidi w:val="0"/>
              <w:rPr>
                <w:rFonts w:hint="default"/>
              </w:rPr>
            </w:pPr>
          </w:p>
        </w:tc>
        <w:tc>
          <w:tcPr>
            <w:tcW w:w="453" w:type="pct"/>
            <w:vMerge w:val="continue"/>
            <w:tcBorders>
              <w:tl2br w:val="nil"/>
              <w:tr2bl w:val="nil"/>
            </w:tcBorders>
            <w:noWrap w:val="0"/>
            <w:vAlign w:val="center"/>
          </w:tcPr>
          <w:p w14:paraId="0647D11F">
            <w:pPr>
              <w:pStyle w:val="34"/>
              <w:bidi w:val="0"/>
              <w:rPr>
                <w:rFonts w:hint="default"/>
              </w:rPr>
            </w:pPr>
          </w:p>
        </w:tc>
        <w:tc>
          <w:tcPr>
            <w:tcW w:w="375" w:type="pct"/>
            <w:vMerge w:val="continue"/>
            <w:tcBorders>
              <w:tl2br w:val="nil"/>
              <w:tr2bl w:val="nil"/>
            </w:tcBorders>
            <w:noWrap w:val="0"/>
            <w:vAlign w:val="center"/>
          </w:tcPr>
          <w:p w14:paraId="001802F1">
            <w:pPr>
              <w:pStyle w:val="34"/>
              <w:bidi w:val="0"/>
              <w:rPr>
                <w:rFonts w:hint="default"/>
              </w:rPr>
            </w:pPr>
          </w:p>
        </w:tc>
        <w:tc>
          <w:tcPr>
            <w:tcW w:w="500" w:type="pct"/>
            <w:vMerge w:val="continue"/>
            <w:tcBorders>
              <w:tl2br w:val="nil"/>
              <w:tr2bl w:val="nil"/>
            </w:tcBorders>
            <w:noWrap w:val="0"/>
            <w:vAlign w:val="center"/>
          </w:tcPr>
          <w:p w14:paraId="5927AB76">
            <w:pPr>
              <w:pStyle w:val="34"/>
              <w:bidi w:val="0"/>
              <w:rPr>
                <w:rFonts w:hint="default"/>
              </w:rPr>
            </w:pPr>
          </w:p>
        </w:tc>
        <w:tc>
          <w:tcPr>
            <w:tcW w:w="495" w:type="pct"/>
            <w:tcBorders>
              <w:tl2br w:val="nil"/>
              <w:tr2bl w:val="nil"/>
            </w:tcBorders>
            <w:noWrap w:val="0"/>
            <w:vAlign w:val="center"/>
          </w:tcPr>
          <w:p w14:paraId="04F1428C">
            <w:pPr>
              <w:pStyle w:val="34"/>
              <w:bidi w:val="0"/>
              <w:rPr>
                <w:rFonts w:hint="default"/>
              </w:rPr>
            </w:pPr>
            <w:r>
              <w:rPr>
                <w:rFonts w:hint="default"/>
                <w:lang w:val="en-US" w:eastAsia="zh-CN"/>
              </w:rPr>
              <w:t>人工费</w:t>
            </w:r>
          </w:p>
        </w:tc>
        <w:tc>
          <w:tcPr>
            <w:tcW w:w="430" w:type="pct"/>
            <w:tcBorders>
              <w:tl2br w:val="nil"/>
              <w:tr2bl w:val="nil"/>
            </w:tcBorders>
            <w:noWrap w:val="0"/>
            <w:vAlign w:val="center"/>
          </w:tcPr>
          <w:p w14:paraId="4DA3E5C3">
            <w:pPr>
              <w:pStyle w:val="34"/>
              <w:bidi w:val="0"/>
              <w:rPr>
                <w:rFonts w:hint="default"/>
              </w:rPr>
            </w:pPr>
            <w:r>
              <w:rPr>
                <w:rFonts w:hint="default"/>
                <w:lang w:val="en-US" w:eastAsia="zh-CN"/>
              </w:rPr>
              <w:t>材料费</w:t>
            </w:r>
          </w:p>
        </w:tc>
        <w:tc>
          <w:tcPr>
            <w:tcW w:w="366" w:type="pct"/>
            <w:tcBorders>
              <w:tl2br w:val="nil"/>
              <w:tr2bl w:val="nil"/>
            </w:tcBorders>
            <w:noWrap w:val="0"/>
            <w:vAlign w:val="center"/>
          </w:tcPr>
          <w:p w14:paraId="2056FEAC">
            <w:pPr>
              <w:pStyle w:val="34"/>
              <w:bidi w:val="0"/>
              <w:rPr>
                <w:rFonts w:hint="default"/>
              </w:rPr>
            </w:pPr>
            <w:r>
              <w:rPr>
                <w:rFonts w:hint="default"/>
                <w:lang w:val="en-US" w:eastAsia="zh-CN"/>
              </w:rPr>
              <w:t>机械费</w:t>
            </w:r>
          </w:p>
        </w:tc>
        <w:tc>
          <w:tcPr>
            <w:tcW w:w="409" w:type="pct"/>
            <w:tcBorders>
              <w:tl2br w:val="nil"/>
              <w:tr2bl w:val="nil"/>
            </w:tcBorders>
            <w:noWrap w:val="0"/>
            <w:vAlign w:val="center"/>
          </w:tcPr>
          <w:p w14:paraId="724E63B5">
            <w:pPr>
              <w:pStyle w:val="34"/>
              <w:bidi w:val="0"/>
              <w:rPr>
                <w:rFonts w:hint="default"/>
              </w:rPr>
            </w:pPr>
            <w:r>
              <w:rPr>
                <w:rFonts w:hint="default"/>
                <w:lang w:val="en-US" w:eastAsia="zh-CN"/>
              </w:rPr>
              <w:t>其他直接费</w:t>
            </w:r>
          </w:p>
        </w:tc>
        <w:tc>
          <w:tcPr>
            <w:tcW w:w="414" w:type="pct"/>
            <w:tcBorders>
              <w:tl2br w:val="nil"/>
              <w:tr2bl w:val="nil"/>
            </w:tcBorders>
            <w:noWrap w:val="0"/>
            <w:vAlign w:val="center"/>
          </w:tcPr>
          <w:p w14:paraId="6917F259">
            <w:pPr>
              <w:pStyle w:val="34"/>
              <w:bidi w:val="0"/>
              <w:rPr>
                <w:rFonts w:hint="default"/>
              </w:rPr>
            </w:pPr>
            <w:r>
              <w:rPr>
                <w:rFonts w:hint="default"/>
                <w:lang w:val="en-US" w:eastAsia="zh-CN"/>
              </w:rPr>
              <w:t>间接费</w:t>
            </w:r>
          </w:p>
        </w:tc>
        <w:tc>
          <w:tcPr>
            <w:tcW w:w="392" w:type="pct"/>
            <w:tcBorders>
              <w:tl2br w:val="nil"/>
              <w:tr2bl w:val="nil"/>
            </w:tcBorders>
            <w:noWrap w:val="0"/>
            <w:vAlign w:val="center"/>
          </w:tcPr>
          <w:p w14:paraId="6A2E00C3">
            <w:pPr>
              <w:pStyle w:val="34"/>
              <w:bidi w:val="0"/>
              <w:rPr>
                <w:rFonts w:hint="default"/>
              </w:rPr>
            </w:pPr>
            <w:r>
              <w:rPr>
                <w:rFonts w:hint="default"/>
                <w:lang w:val="en-US" w:eastAsia="zh-CN"/>
              </w:rPr>
              <w:t>企业利润</w:t>
            </w:r>
          </w:p>
        </w:tc>
        <w:tc>
          <w:tcPr>
            <w:tcW w:w="419" w:type="pct"/>
            <w:tcBorders>
              <w:tl2br w:val="nil"/>
              <w:tr2bl w:val="nil"/>
            </w:tcBorders>
            <w:noWrap w:val="0"/>
            <w:vAlign w:val="center"/>
          </w:tcPr>
          <w:p w14:paraId="572F61B2">
            <w:pPr>
              <w:pStyle w:val="34"/>
              <w:bidi w:val="0"/>
              <w:rPr>
                <w:rFonts w:hint="default"/>
              </w:rPr>
            </w:pPr>
            <w:r>
              <w:rPr>
                <w:rFonts w:hint="default"/>
                <w:lang w:val="en-US" w:eastAsia="zh-CN"/>
              </w:rPr>
              <w:t>税金</w:t>
            </w:r>
          </w:p>
        </w:tc>
        <w:tc>
          <w:tcPr>
            <w:tcW w:w="424" w:type="pct"/>
            <w:tcBorders>
              <w:tl2br w:val="nil"/>
              <w:tr2bl w:val="nil"/>
            </w:tcBorders>
            <w:noWrap w:val="0"/>
            <w:vAlign w:val="center"/>
          </w:tcPr>
          <w:p w14:paraId="27183306">
            <w:pPr>
              <w:pStyle w:val="34"/>
              <w:bidi w:val="0"/>
              <w:rPr>
                <w:rFonts w:hint="default"/>
              </w:rPr>
            </w:pPr>
            <w:r>
              <w:rPr>
                <w:rFonts w:hint="default"/>
                <w:lang w:val="en-US" w:eastAsia="zh-CN"/>
              </w:rPr>
              <w:t>扩大系数</w:t>
            </w:r>
          </w:p>
        </w:tc>
      </w:tr>
      <w:tr w14:paraId="1EEAF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17" w:type="pct"/>
            <w:tcBorders>
              <w:tl2br w:val="nil"/>
              <w:tr2bl w:val="nil"/>
            </w:tcBorders>
            <w:noWrap w:val="0"/>
            <w:vAlign w:val="center"/>
          </w:tcPr>
          <w:p w14:paraId="3F98D9B3">
            <w:pPr>
              <w:pStyle w:val="34"/>
              <w:bidi w:val="0"/>
              <w:rPr>
                <w:rFonts w:hint="default"/>
              </w:rPr>
            </w:pPr>
            <w:r>
              <w:rPr>
                <w:rFonts w:hint="default"/>
                <w:lang w:val="en-US" w:eastAsia="zh-CN"/>
              </w:rPr>
              <w:t>01006</w:t>
            </w:r>
          </w:p>
        </w:tc>
        <w:tc>
          <w:tcPr>
            <w:tcW w:w="453" w:type="pct"/>
            <w:tcBorders>
              <w:tl2br w:val="nil"/>
              <w:tr2bl w:val="nil"/>
            </w:tcBorders>
            <w:noWrap w:val="0"/>
            <w:vAlign w:val="center"/>
          </w:tcPr>
          <w:p w14:paraId="4A7344E7">
            <w:pPr>
              <w:pStyle w:val="34"/>
              <w:bidi w:val="0"/>
              <w:rPr>
                <w:rFonts w:hint="default"/>
              </w:rPr>
            </w:pPr>
            <w:r>
              <w:rPr>
                <w:rFonts w:hint="default"/>
                <w:lang w:val="en-US" w:eastAsia="zh-CN"/>
              </w:rPr>
              <w:t>人工挖排水沟</w:t>
            </w:r>
          </w:p>
        </w:tc>
        <w:tc>
          <w:tcPr>
            <w:tcW w:w="375" w:type="pct"/>
            <w:tcBorders>
              <w:tl2br w:val="nil"/>
              <w:tr2bl w:val="nil"/>
            </w:tcBorders>
            <w:noWrap w:val="0"/>
            <w:vAlign w:val="center"/>
          </w:tcPr>
          <w:p w14:paraId="2F1E3748">
            <w:pPr>
              <w:pStyle w:val="34"/>
              <w:bidi w:val="0"/>
              <w:rPr>
                <w:rFonts w:hint="default"/>
              </w:rPr>
            </w:pPr>
            <w:r>
              <w:rPr>
                <w:rFonts w:hint="default"/>
                <w:lang w:val="en-US" w:eastAsia="zh-CN"/>
              </w:rPr>
              <w:t>100m</w:t>
            </w:r>
            <w:r>
              <w:rPr>
                <w:rFonts w:hint="default"/>
                <w:vertAlign w:val="superscript"/>
                <w:lang w:val="en-US" w:eastAsia="zh-CN"/>
              </w:rPr>
              <w:t>3</w:t>
            </w:r>
          </w:p>
        </w:tc>
        <w:tc>
          <w:tcPr>
            <w:tcW w:w="500" w:type="pct"/>
            <w:tcBorders>
              <w:tl2br w:val="nil"/>
              <w:tr2bl w:val="nil"/>
            </w:tcBorders>
            <w:noWrap w:val="0"/>
            <w:vAlign w:val="center"/>
          </w:tcPr>
          <w:p w14:paraId="6FEBA4A5">
            <w:pPr>
              <w:pStyle w:val="34"/>
              <w:bidi w:val="0"/>
              <w:rPr>
                <w:rFonts w:hint="default"/>
              </w:rPr>
            </w:pPr>
            <w:r>
              <w:rPr>
                <w:rFonts w:hint="default"/>
                <w:lang w:val="en-US" w:eastAsia="zh-CN"/>
              </w:rPr>
              <w:t xml:space="preserve">3367.44 </w:t>
            </w:r>
          </w:p>
        </w:tc>
        <w:tc>
          <w:tcPr>
            <w:tcW w:w="495" w:type="pct"/>
            <w:tcBorders>
              <w:tl2br w:val="nil"/>
              <w:tr2bl w:val="nil"/>
            </w:tcBorders>
            <w:noWrap w:val="0"/>
            <w:vAlign w:val="center"/>
          </w:tcPr>
          <w:p w14:paraId="256B6761">
            <w:pPr>
              <w:pStyle w:val="34"/>
              <w:bidi w:val="0"/>
              <w:rPr>
                <w:rFonts w:hint="default"/>
              </w:rPr>
            </w:pPr>
            <w:r>
              <w:rPr>
                <w:rFonts w:hint="default"/>
                <w:lang w:val="en-US" w:eastAsia="zh-CN"/>
              </w:rPr>
              <w:t xml:space="preserve">2322.60 </w:t>
            </w:r>
          </w:p>
        </w:tc>
        <w:tc>
          <w:tcPr>
            <w:tcW w:w="430" w:type="pct"/>
            <w:tcBorders>
              <w:tl2br w:val="nil"/>
              <w:tr2bl w:val="nil"/>
            </w:tcBorders>
            <w:noWrap w:val="0"/>
            <w:vAlign w:val="center"/>
          </w:tcPr>
          <w:p w14:paraId="53075902">
            <w:pPr>
              <w:pStyle w:val="34"/>
              <w:bidi w:val="0"/>
              <w:rPr>
                <w:rFonts w:hint="default"/>
              </w:rPr>
            </w:pPr>
            <w:r>
              <w:rPr>
                <w:rFonts w:hint="default"/>
                <w:lang w:val="en-US" w:eastAsia="zh-CN"/>
              </w:rPr>
              <w:t xml:space="preserve">69.68 </w:t>
            </w:r>
          </w:p>
        </w:tc>
        <w:tc>
          <w:tcPr>
            <w:tcW w:w="366" w:type="pct"/>
            <w:tcBorders>
              <w:tl2br w:val="nil"/>
              <w:tr2bl w:val="nil"/>
            </w:tcBorders>
            <w:noWrap w:val="0"/>
            <w:vAlign w:val="center"/>
          </w:tcPr>
          <w:p w14:paraId="01B483A6">
            <w:pPr>
              <w:pStyle w:val="34"/>
              <w:bidi w:val="0"/>
              <w:rPr>
                <w:rFonts w:hint="default"/>
              </w:rPr>
            </w:pPr>
            <w:r>
              <w:rPr>
                <w:rFonts w:hint="default"/>
                <w:lang w:val="en-US" w:eastAsia="zh-CN"/>
              </w:rPr>
              <w:t>0</w:t>
            </w:r>
          </w:p>
        </w:tc>
        <w:tc>
          <w:tcPr>
            <w:tcW w:w="409" w:type="pct"/>
            <w:tcBorders>
              <w:tl2br w:val="nil"/>
              <w:tr2bl w:val="nil"/>
            </w:tcBorders>
            <w:noWrap w:val="0"/>
            <w:vAlign w:val="center"/>
          </w:tcPr>
          <w:p w14:paraId="463E91D4">
            <w:pPr>
              <w:pStyle w:val="34"/>
              <w:bidi w:val="0"/>
              <w:rPr>
                <w:rFonts w:hint="default"/>
              </w:rPr>
            </w:pPr>
            <w:r>
              <w:rPr>
                <w:rFonts w:hint="default"/>
                <w:lang w:val="en-US" w:eastAsia="zh-CN"/>
              </w:rPr>
              <w:t xml:space="preserve">95.69 </w:t>
            </w:r>
          </w:p>
        </w:tc>
        <w:tc>
          <w:tcPr>
            <w:tcW w:w="414" w:type="pct"/>
            <w:tcBorders>
              <w:tl2br w:val="nil"/>
              <w:tr2bl w:val="nil"/>
            </w:tcBorders>
            <w:noWrap w:val="0"/>
            <w:vAlign w:val="center"/>
          </w:tcPr>
          <w:p w14:paraId="0787B134">
            <w:pPr>
              <w:pStyle w:val="34"/>
              <w:bidi w:val="0"/>
              <w:rPr>
                <w:rFonts w:hint="default"/>
              </w:rPr>
            </w:pPr>
            <w:r>
              <w:rPr>
                <w:rFonts w:hint="default"/>
                <w:lang w:val="en-US" w:eastAsia="zh-CN"/>
              </w:rPr>
              <w:t xml:space="preserve">136.84 </w:t>
            </w:r>
          </w:p>
        </w:tc>
        <w:tc>
          <w:tcPr>
            <w:tcW w:w="392" w:type="pct"/>
            <w:tcBorders>
              <w:tl2br w:val="nil"/>
              <w:tr2bl w:val="nil"/>
            </w:tcBorders>
            <w:noWrap w:val="0"/>
            <w:vAlign w:val="center"/>
          </w:tcPr>
          <w:p w14:paraId="5E4EA792">
            <w:pPr>
              <w:pStyle w:val="34"/>
              <w:bidi w:val="0"/>
              <w:rPr>
                <w:rFonts w:hint="default"/>
              </w:rPr>
            </w:pPr>
            <w:r>
              <w:rPr>
                <w:rFonts w:hint="default"/>
                <w:lang w:val="en-US" w:eastAsia="zh-CN"/>
              </w:rPr>
              <w:t xml:space="preserve">183.74 </w:t>
            </w:r>
          </w:p>
        </w:tc>
        <w:tc>
          <w:tcPr>
            <w:tcW w:w="419" w:type="pct"/>
            <w:tcBorders>
              <w:tl2br w:val="nil"/>
              <w:tr2bl w:val="nil"/>
            </w:tcBorders>
            <w:noWrap w:val="0"/>
            <w:vAlign w:val="center"/>
          </w:tcPr>
          <w:p w14:paraId="6053B7BE">
            <w:pPr>
              <w:pStyle w:val="34"/>
              <w:bidi w:val="0"/>
              <w:rPr>
                <w:rFonts w:hint="default"/>
              </w:rPr>
            </w:pPr>
            <w:r>
              <w:rPr>
                <w:rFonts w:hint="default"/>
                <w:lang w:val="en-US" w:eastAsia="zh-CN"/>
              </w:rPr>
              <w:t xml:space="preserve">252.77 </w:t>
            </w:r>
          </w:p>
        </w:tc>
        <w:tc>
          <w:tcPr>
            <w:tcW w:w="424" w:type="pct"/>
            <w:tcBorders>
              <w:tl2br w:val="nil"/>
              <w:tr2bl w:val="nil"/>
            </w:tcBorders>
            <w:noWrap w:val="0"/>
            <w:vAlign w:val="center"/>
          </w:tcPr>
          <w:p w14:paraId="7C846D82">
            <w:pPr>
              <w:pStyle w:val="34"/>
              <w:bidi w:val="0"/>
              <w:rPr>
                <w:rFonts w:hint="default"/>
              </w:rPr>
            </w:pPr>
            <w:r>
              <w:rPr>
                <w:rFonts w:hint="default"/>
                <w:lang w:val="en-US" w:eastAsia="zh-CN"/>
              </w:rPr>
              <w:t xml:space="preserve">306.13 </w:t>
            </w:r>
          </w:p>
        </w:tc>
      </w:tr>
      <w:tr w14:paraId="3C7CC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17" w:type="pct"/>
            <w:tcBorders>
              <w:tl2br w:val="nil"/>
              <w:tr2bl w:val="nil"/>
            </w:tcBorders>
            <w:noWrap w:val="0"/>
            <w:vAlign w:val="center"/>
          </w:tcPr>
          <w:p w14:paraId="70278A79">
            <w:pPr>
              <w:pStyle w:val="34"/>
              <w:bidi w:val="0"/>
              <w:rPr>
                <w:rFonts w:hint="default"/>
              </w:rPr>
            </w:pPr>
            <w:r>
              <w:rPr>
                <w:rFonts w:hint="default"/>
                <w:lang w:val="en-US" w:eastAsia="zh-CN"/>
              </w:rPr>
              <w:t>01093</w:t>
            </w:r>
          </w:p>
        </w:tc>
        <w:tc>
          <w:tcPr>
            <w:tcW w:w="453" w:type="pct"/>
            <w:tcBorders>
              <w:tl2br w:val="nil"/>
              <w:tr2bl w:val="nil"/>
            </w:tcBorders>
            <w:noWrap w:val="0"/>
            <w:vAlign w:val="center"/>
          </w:tcPr>
          <w:p w14:paraId="30E90FA6">
            <w:pPr>
              <w:pStyle w:val="34"/>
              <w:bidi w:val="0"/>
              <w:rPr>
                <w:rFonts w:hint="default"/>
              </w:rPr>
            </w:pPr>
            <w:r>
              <w:rPr>
                <w:rFonts w:hint="default"/>
                <w:lang w:val="en-US" w:eastAsia="zh-CN"/>
              </w:rPr>
              <w:t>人工夯实土方</w:t>
            </w:r>
          </w:p>
        </w:tc>
        <w:tc>
          <w:tcPr>
            <w:tcW w:w="375" w:type="pct"/>
            <w:tcBorders>
              <w:tl2br w:val="nil"/>
              <w:tr2bl w:val="nil"/>
            </w:tcBorders>
            <w:noWrap w:val="0"/>
            <w:vAlign w:val="center"/>
          </w:tcPr>
          <w:p w14:paraId="3A6F8D79">
            <w:pPr>
              <w:pStyle w:val="34"/>
              <w:bidi w:val="0"/>
              <w:rPr>
                <w:rFonts w:hint="default"/>
              </w:rPr>
            </w:pPr>
            <w:r>
              <w:rPr>
                <w:rFonts w:hint="default"/>
                <w:lang w:val="en-US" w:eastAsia="zh-CN"/>
              </w:rPr>
              <w:t>100m</w:t>
            </w:r>
            <w:r>
              <w:rPr>
                <w:rFonts w:hint="default"/>
                <w:vertAlign w:val="superscript"/>
                <w:lang w:val="en-US" w:eastAsia="zh-CN"/>
              </w:rPr>
              <w:t>3</w:t>
            </w:r>
          </w:p>
        </w:tc>
        <w:tc>
          <w:tcPr>
            <w:tcW w:w="500" w:type="pct"/>
            <w:tcBorders>
              <w:tl2br w:val="nil"/>
              <w:tr2bl w:val="nil"/>
            </w:tcBorders>
            <w:noWrap w:val="0"/>
            <w:vAlign w:val="center"/>
          </w:tcPr>
          <w:p w14:paraId="5975782C">
            <w:pPr>
              <w:pStyle w:val="34"/>
              <w:bidi w:val="0"/>
              <w:rPr>
                <w:rFonts w:hint="default"/>
              </w:rPr>
            </w:pPr>
            <w:r>
              <w:rPr>
                <w:rFonts w:hint="default"/>
                <w:lang w:val="en-US" w:eastAsia="zh-CN"/>
              </w:rPr>
              <w:t xml:space="preserve">9334.92 </w:t>
            </w:r>
          </w:p>
        </w:tc>
        <w:tc>
          <w:tcPr>
            <w:tcW w:w="495" w:type="pct"/>
            <w:tcBorders>
              <w:tl2br w:val="nil"/>
              <w:tr2bl w:val="nil"/>
            </w:tcBorders>
            <w:noWrap w:val="0"/>
            <w:vAlign w:val="center"/>
          </w:tcPr>
          <w:p w14:paraId="03B0E620">
            <w:pPr>
              <w:pStyle w:val="34"/>
              <w:bidi w:val="0"/>
              <w:rPr>
                <w:rFonts w:hint="default"/>
              </w:rPr>
            </w:pPr>
            <w:r>
              <w:rPr>
                <w:rFonts w:hint="default"/>
                <w:lang w:val="en-US" w:eastAsia="zh-CN"/>
              </w:rPr>
              <w:t xml:space="preserve">6438.50 </w:t>
            </w:r>
          </w:p>
        </w:tc>
        <w:tc>
          <w:tcPr>
            <w:tcW w:w="430" w:type="pct"/>
            <w:tcBorders>
              <w:tl2br w:val="nil"/>
              <w:tr2bl w:val="nil"/>
            </w:tcBorders>
            <w:noWrap w:val="0"/>
            <w:vAlign w:val="center"/>
          </w:tcPr>
          <w:p w14:paraId="7EFE8AAC">
            <w:pPr>
              <w:pStyle w:val="34"/>
              <w:bidi w:val="0"/>
              <w:rPr>
                <w:rFonts w:hint="default"/>
              </w:rPr>
            </w:pPr>
            <w:r>
              <w:rPr>
                <w:rFonts w:hint="default"/>
                <w:lang w:val="en-US" w:eastAsia="zh-CN"/>
              </w:rPr>
              <w:t xml:space="preserve">193.16 </w:t>
            </w:r>
          </w:p>
        </w:tc>
        <w:tc>
          <w:tcPr>
            <w:tcW w:w="366" w:type="pct"/>
            <w:tcBorders>
              <w:tl2br w:val="nil"/>
              <w:tr2bl w:val="nil"/>
            </w:tcBorders>
            <w:noWrap w:val="0"/>
            <w:vAlign w:val="center"/>
          </w:tcPr>
          <w:p w14:paraId="2B08E58E">
            <w:pPr>
              <w:pStyle w:val="34"/>
              <w:bidi w:val="0"/>
              <w:rPr>
                <w:rFonts w:hint="default"/>
              </w:rPr>
            </w:pPr>
            <w:r>
              <w:rPr>
                <w:rFonts w:hint="default"/>
                <w:lang w:val="en-US" w:eastAsia="zh-CN"/>
              </w:rPr>
              <w:t>0</w:t>
            </w:r>
          </w:p>
        </w:tc>
        <w:tc>
          <w:tcPr>
            <w:tcW w:w="409" w:type="pct"/>
            <w:tcBorders>
              <w:tl2br w:val="nil"/>
              <w:tr2bl w:val="nil"/>
            </w:tcBorders>
            <w:noWrap w:val="0"/>
            <w:vAlign w:val="center"/>
          </w:tcPr>
          <w:p w14:paraId="418B7A31">
            <w:pPr>
              <w:pStyle w:val="34"/>
              <w:bidi w:val="0"/>
              <w:rPr>
                <w:rFonts w:hint="default"/>
              </w:rPr>
            </w:pPr>
            <w:r>
              <w:rPr>
                <w:rFonts w:hint="default"/>
                <w:lang w:val="en-US" w:eastAsia="zh-CN"/>
              </w:rPr>
              <w:t xml:space="preserve">265.27 </w:t>
            </w:r>
          </w:p>
        </w:tc>
        <w:tc>
          <w:tcPr>
            <w:tcW w:w="414" w:type="pct"/>
            <w:tcBorders>
              <w:tl2br w:val="nil"/>
              <w:tr2bl w:val="nil"/>
            </w:tcBorders>
            <w:noWrap w:val="0"/>
            <w:vAlign w:val="center"/>
          </w:tcPr>
          <w:p w14:paraId="33D7E1EE">
            <w:pPr>
              <w:pStyle w:val="34"/>
              <w:bidi w:val="0"/>
              <w:rPr>
                <w:rFonts w:hint="default"/>
              </w:rPr>
            </w:pPr>
            <w:r>
              <w:rPr>
                <w:rFonts w:hint="default"/>
                <w:lang w:val="en-US" w:eastAsia="zh-CN"/>
              </w:rPr>
              <w:t xml:space="preserve">379.33 </w:t>
            </w:r>
          </w:p>
        </w:tc>
        <w:tc>
          <w:tcPr>
            <w:tcW w:w="392" w:type="pct"/>
            <w:tcBorders>
              <w:tl2br w:val="nil"/>
              <w:tr2bl w:val="nil"/>
            </w:tcBorders>
            <w:noWrap w:val="0"/>
            <w:vAlign w:val="center"/>
          </w:tcPr>
          <w:p w14:paraId="0BC960D7">
            <w:pPr>
              <w:pStyle w:val="34"/>
              <w:bidi w:val="0"/>
              <w:rPr>
                <w:rFonts w:hint="default"/>
              </w:rPr>
            </w:pPr>
            <w:r>
              <w:rPr>
                <w:rFonts w:hint="default"/>
                <w:lang w:val="en-US" w:eastAsia="zh-CN"/>
              </w:rPr>
              <w:t xml:space="preserve">509.34 </w:t>
            </w:r>
          </w:p>
        </w:tc>
        <w:tc>
          <w:tcPr>
            <w:tcW w:w="419" w:type="pct"/>
            <w:tcBorders>
              <w:tl2br w:val="nil"/>
              <w:tr2bl w:val="nil"/>
            </w:tcBorders>
            <w:noWrap w:val="0"/>
            <w:vAlign w:val="center"/>
          </w:tcPr>
          <w:p w14:paraId="2CABBA81">
            <w:pPr>
              <w:pStyle w:val="34"/>
              <w:bidi w:val="0"/>
              <w:rPr>
                <w:rFonts w:hint="default"/>
              </w:rPr>
            </w:pPr>
            <w:r>
              <w:rPr>
                <w:rFonts w:hint="default"/>
                <w:lang w:val="en-US" w:eastAsia="zh-CN"/>
              </w:rPr>
              <w:t xml:space="preserve">700.70 </w:t>
            </w:r>
          </w:p>
        </w:tc>
        <w:tc>
          <w:tcPr>
            <w:tcW w:w="424" w:type="pct"/>
            <w:tcBorders>
              <w:tl2br w:val="nil"/>
              <w:tr2bl w:val="nil"/>
            </w:tcBorders>
            <w:noWrap w:val="0"/>
            <w:vAlign w:val="center"/>
          </w:tcPr>
          <w:p w14:paraId="184C8B46">
            <w:pPr>
              <w:pStyle w:val="34"/>
              <w:bidi w:val="0"/>
              <w:rPr>
                <w:rFonts w:hint="default"/>
              </w:rPr>
            </w:pPr>
            <w:r>
              <w:rPr>
                <w:rFonts w:hint="default"/>
                <w:lang w:val="en-US" w:eastAsia="zh-CN"/>
              </w:rPr>
              <w:t xml:space="preserve">848.63 </w:t>
            </w:r>
          </w:p>
        </w:tc>
      </w:tr>
      <w:tr w14:paraId="7520B4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17" w:type="pct"/>
            <w:tcBorders>
              <w:tl2br w:val="nil"/>
              <w:tr2bl w:val="nil"/>
            </w:tcBorders>
            <w:noWrap w:val="0"/>
            <w:vAlign w:val="center"/>
          </w:tcPr>
          <w:p w14:paraId="4ECC21BF">
            <w:pPr>
              <w:pStyle w:val="34"/>
              <w:bidi w:val="0"/>
              <w:rPr>
                <w:rFonts w:hint="default"/>
              </w:rPr>
            </w:pPr>
            <w:r>
              <w:rPr>
                <w:rFonts w:hint="default"/>
                <w:lang w:val="en-US" w:eastAsia="zh-CN"/>
              </w:rPr>
              <w:t>1036</w:t>
            </w:r>
          </w:p>
        </w:tc>
        <w:tc>
          <w:tcPr>
            <w:tcW w:w="453" w:type="pct"/>
            <w:tcBorders>
              <w:tl2br w:val="nil"/>
              <w:tr2bl w:val="nil"/>
            </w:tcBorders>
            <w:noWrap w:val="0"/>
            <w:vAlign w:val="center"/>
          </w:tcPr>
          <w:p w14:paraId="320A8B38">
            <w:pPr>
              <w:pStyle w:val="34"/>
              <w:bidi w:val="0"/>
              <w:rPr>
                <w:rFonts w:hint="default"/>
              </w:rPr>
            </w:pPr>
            <w:r>
              <w:rPr>
                <w:rFonts w:hint="default"/>
                <w:lang w:val="en-US" w:eastAsia="zh-CN"/>
              </w:rPr>
              <w:t>人工挖柱坑开挖</w:t>
            </w:r>
          </w:p>
        </w:tc>
        <w:tc>
          <w:tcPr>
            <w:tcW w:w="375" w:type="pct"/>
            <w:tcBorders>
              <w:tl2br w:val="nil"/>
              <w:tr2bl w:val="nil"/>
            </w:tcBorders>
            <w:noWrap w:val="0"/>
            <w:vAlign w:val="center"/>
          </w:tcPr>
          <w:p w14:paraId="1171DB88">
            <w:pPr>
              <w:pStyle w:val="34"/>
              <w:bidi w:val="0"/>
              <w:rPr>
                <w:rFonts w:hint="default"/>
              </w:rPr>
            </w:pPr>
            <w:r>
              <w:rPr>
                <w:rFonts w:hint="default"/>
                <w:lang w:val="en-US" w:eastAsia="zh-CN"/>
              </w:rPr>
              <w:t>100m</w:t>
            </w:r>
            <w:r>
              <w:rPr>
                <w:rFonts w:hint="default"/>
                <w:vertAlign w:val="superscript"/>
                <w:lang w:val="en-US" w:eastAsia="zh-CN"/>
              </w:rPr>
              <w:t>3</w:t>
            </w:r>
          </w:p>
        </w:tc>
        <w:tc>
          <w:tcPr>
            <w:tcW w:w="500" w:type="pct"/>
            <w:tcBorders>
              <w:tl2br w:val="nil"/>
              <w:tr2bl w:val="nil"/>
            </w:tcBorders>
            <w:noWrap w:val="0"/>
            <w:vAlign w:val="center"/>
          </w:tcPr>
          <w:p w14:paraId="02662B9E">
            <w:pPr>
              <w:pStyle w:val="34"/>
              <w:bidi w:val="0"/>
              <w:rPr>
                <w:rFonts w:hint="default"/>
              </w:rPr>
            </w:pPr>
            <w:r>
              <w:rPr>
                <w:rFonts w:hint="default"/>
                <w:lang w:val="en-US" w:eastAsia="zh-CN"/>
              </w:rPr>
              <w:t xml:space="preserve">4114.56 </w:t>
            </w:r>
          </w:p>
        </w:tc>
        <w:tc>
          <w:tcPr>
            <w:tcW w:w="495" w:type="pct"/>
            <w:tcBorders>
              <w:tl2br w:val="nil"/>
              <w:tr2bl w:val="nil"/>
            </w:tcBorders>
            <w:noWrap w:val="0"/>
            <w:vAlign w:val="center"/>
          </w:tcPr>
          <w:p w14:paraId="39C22719">
            <w:pPr>
              <w:pStyle w:val="34"/>
              <w:bidi w:val="0"/>
              <w:rPr>
                <w:rFonts w:hint="default"/>
              </w:rPr>
            </w:pPr>
            <w:r>
              <w:rPr>
                <w:rFonts w:hint="default"/>
                <w:lang w:val="en-US" w:eastAsia="zh-CN"/>
              </w:rPr>
              <w:t xml:space="preserve">2865.73 </w:t>
            </w:r>
          </w:p>
        </w:tc>
        <w:tc>
          <w:tcPr>
            <w:tcW w:w="430" w:type="pct"/>
            <w:tcBorders>
              <w:tl2br w:val="nil"/>
              <w:tr2bl w:val="nil"/>
            </w:tcBorders>
            <w:noWrap w:val="0"/>
            <w:vAlign w:val="center"/>
          </w:tcPr>
          <w:p w14:paraId="2F7B0534">
            <w:pPr>
              <w:pStyle w:val="34"/>
              <w:bidi w:val="0"/>
              <w:rPr>
                <w:rFonts w:hint="default"/>
              </w:rPr>
            </w:pPr>
            <w:r>
              <w:rPr>
                <w:rFonts w:hint="default"/>
                <w:lang w:val="en-US" w:eastAsia="zh-CN"/>
              </w:rPr>
              <w:t xml:space="preserve">57.31 </w:t>
            </w:r>
          </w:p>
        </w:tc>
        <w:tc>
          <w:tcPr>
            <w:tcW w:w="366" w:type="pct"/>
            <w:tcBorders>
              <w:tl2br w:val="nil"/>
              <w:tr2bl w:val="nil"/>
            </w:tcBorders>
            <w:noWrap w:val="0"/>
            <w:vAlign w:val="center"/>
          </w:tcPr>
          <w:p w14:paraId="33C53DC9">
            <w:pPr>
              <w:pStyle w:val="34"/>
              <w:bidi w:val="0"/>
              <w:rPr>
                <w:rFonts w:hint="default"/>
              </w:rPr>
            </w:pPr>
            <w:r>
              <w:rPr>
                <w:rFonts w:hint="default"/>
                <w:lang w:val="en-US" w:eastAsia="zh-CN"/>
              </w:rPr>
              <w:t>0</w:t>
            </w:r>
          </w:p>
        </w:tc>
        <w:tc>
          <w:tcPr>
            <w:tcW w:w="409" w:type="pct"/>
            <w:tcBorders>
              <w:tl2br w:val="nil"/>
              <w:tr2bl w:val="nil"/>
            </w:tcBorders>
            <w:noWrap w:val="0"/>
            <w:vAlign w:val="center"/>
          </w:tcPr>
          <w:p w14:paraId="09D5B3D2">
            <w:pPr>
              <w:pStyle w:val="34"/>
              <w:bidi w:val="0"/>
              <w:rPr>
                <w:rFonts w:hint="default"/>
              </w:rPr>
            </w:pPr>
            <w:r>
              <w:rPr>
                <w:rFonts w:hint="default"/>
                <w:lang w:val="en-US" w:eastAsia="zh-CN"/>
              </w:rPr>
              <w:t xml:space="preserve">116.92 </w:t>
            </w:r>
          </w:p>
        </w:tc>
        <w:tc>
          <w:tcPr>
            <w:tcW w:w="414" w:type="pct"/>
            <w:tcBorders>
              <w:tl2br w:val="nil"/>
              <w:tr2bl w:val="nil"/>
            </w:tcBorders>
            <w:noWrap w:val="0"/>
            <w:vAlign w:val="center"/>
          </w:tcPr>
          <w:p w14:paraId="547C7515">
            <w:pPr>
              <w:pStyle w:val="34"/>
              <w:bidi w:val="0"/>
              <w:rPr>
                <w:rFonts w:hint="default"/>
              </w:rPr>
            </w:pPr>
            <w:r>
              <w:rPr>
                <w:rFonts w:hint="default"/>
                <w:lang w:val="en-US" w:eastAsia="zh-CN"/>
              </w:rPr>
              <w:t xml:space="preserve">167.20 </w:t>
            </w:r>
          </w:p>
        </w:tc>
        <w:tc>
          <w:tcPr>
            <w:tcW w:w="392" w:type="pct"/>
            <w:tcBorders>
              <w:tl2br w:val="nil"/>
              <w:tr2bl w:val="nil"/>
            </w:tcBorders>
            <w:noWrap w:val="0"/>
            <w:vAlign w:val="center"/>
          </w:tcPr>
          <w:p w14:paraId="5148A6E1">
            <w:pPr>
              <w:pStyle w:val="34"/>
              <w:bidi w:val="0"/>
              <w:rPr>
                <w:rFonts w:hint="default"/>
              </w:rPr>
            </w:pPr>
            <w:r>
              <w:rPr>
                <w:rFonts w:hint="default"/>
                <w:lang w:val="en-US" w:eastAsia="zh-CN"/>
              </w:rPr>
              <w:t xml:space="preserve">224.50 </w:t>
            </w:r>
          </w:p>
        </w:tc>
        <w:tc>
          <w:tcPr>
            <w:tcW w:w="419" w:type="pct"/>
            <w:tcBorders>
              <w:tl2br w:val="nil"/>
              <w:tr2bl w:val="nil"/>
            </w:tcBorders>
            <w:noWrap w:val="0"/>
            <w:vAlign w:val="center"/>
          </w:tcPr>
          <w:p w14:paraId="5E28F6D3">
            <w:pPr>
              <w:pStyle w:val="34"/>
              <w:bidi w:val="0"/>
              <w:rPr>
                <w:rFonts w:hint="default"/>
              </w:rPr>
            </w:pPr>
            <w:r>
              <w:rPr>
                <w:rFonts w:hint="default"/>
                <w:lang w:val="en-US" w:eastAsia="zh-CN"/>
              </w:rPr>
              <w:t xml:space="preserve">308.85 </w:t>
            </w:r>
          </w:p>
        </w:tc>
        <w:tc>
          <w:tcPr>
            <w:tcW w:w="424" w:type="pct"/>
            <w:tcBorders>
              <w:tl2br w:val="nil"/>
              <w:tr2bl w:val="nil"/>
            </w:tcBorders>
            <w:noWrap w:val="0"/>
            <w:vAlign w:val="center"/>
          </w:tcPr>
          <w:p w14:paraId="4247A189">
            <w:pPr>
              <w:pStyle w:val="34"/>
              <w:bidi w:val="0"/>
              <w:rPr>
                <w:rFonts w:hint="default"/>
              </w:rPr>
            </w:pPr>
            <w:r>
              <w:rPr>
                <w:rFonts w:hint="default"/>
                <w:lang w:val="en-US" w:eastAsia="zh-CN"/>
              </w:rPr>
              <w:t xml:space="preserve">374.05 </w:t>
            </w:r>
          </w:p>
        </w:tc>
      </w:tr>
      <w:tr w14:paraId="2DA39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17" w:type="pct"/>
            <w:tcBorders>
              <w:tl2br w:val="nil"/>
              <w:tr2bl w:val="nil"/>
            </w:tcBorders>
            <w:noWrap w:val="0"/>
            <w:vAlign w:val="center"/>
          </w:tcPr>
          <w:p w14:paraId="091FD30C">
            <w:pPr>
              <w:pStyle w:val="34"/>
              <w:bidi w:val="0"/>
              <w:rPr>
                <w:rFonts w:hint="default"/>
              </w:rPr>
            </w:pPr>
            <w:r>
              <w:rPr>
                <w:rFonts w:hint="default"/>
                <w:lang w:val="en-US" w:eastAsia="zh-CN"/>
              </w:rPr>
              <w:t>3007</w:t>
            </w:r>
          </w:p>
        </w:tc>
        <w:tc>
          <w:tcPr>
            <w:tcW w:w="453" w:type="pct"/>
            <w:tcBorders>
              <w:tl2br w:val="nil"/>
              <w:tr2bl w:val="nil"/>
            </w:tcBorders>
            <w:noWrap w:val="0"/>
            <w:vAlign w:val="center"/>
          </w:tcPr>
          <w:p w14:paraId="5107D3A8">
            <w:pPr>
              <w:pStyle w:val="34"/>
              <w:bidi w:val="0"/>
              <w:rPr>
                <w:rFonts w:hint="default"/>
              </w:rPr>
            </w:pPr>
            <w:r>
              <w:rPr>
                <w:rFonts w:hint="default"/>
                <w:lang w:val="en-US" w:eastAsia="zh-CN"/>
              </w:rPr>
              <w:t>M7.5砖砌</w:t>
            </w:r>
          </w:p>
        </w:tc>
        <w:tc>
          <w:tcPr>
            <w:tcW w:w="375" w:type="pct"/>
            <w:tcBorders>
              <w:tl2br w:val="nil"/>
              <w:tr2bl w:val="nil"/>
            </w:tcBorders>
            <w:noWrap w:val="0"/>
            <w:vAlign w:val="center"/>
          </w:tcPr>
          <w:p w14:paraId="7F4726BA">
            <w:pPr>
              <w:pStyle w:val="34"/>
              <w:bidi w:val="0"/>
              <w:rPr>
                <w:rFonts w:hint="default"/>
              </w:rPr>
            </w:pPr>
            <w:r>
              <w:rPr>
                <w:rFonts w:hint="default"/>
                <w:lang w:val="en-US" w:eastAsia="zh-CN"/>
              </w:rPr>
              <w:t>100m</w:t>
            </w:r>
            <w:r>
              <w:rPr>
                <w:rFonts w:hint="default"/>
                <w:vertAlign w:val="superscript"/>
                <w:lang w:val="en-US" w:eastAsia="zh-CN"/>
              </w:rPr>
              <w:t>3</w:t>
            </w:r>
          </w:p>
        </w:tc>
        <w:tc>
          <w:tcPr>
            <w:tcW w:w="500" w:type="pct"/>
            <w:tcBorders>
              <w:tl2br w:val="nil"/>
              <w:tr2bl w:val="nil"/>
            </w:tcBorders>
            <w:noWrap w:val="0"/>
            <w:vAlign w:val="center"/>
          </w:tcPr>
          <w:p w14:paraId="33E3023E">
            <w:pPr>
              <w:pStyle w:val="34"/>
              <w:bidi w:val="0"/>
              <w:rPr>
                <w:rFonts w:hint="default"/>
              </w:rPr>
            </w:pPr>
            <w:r>
              <w:rPr>
                <w:rFonts w:hint="default"/>
                <w:lang w:val="en-US" w:eastAsia="zh-CN"/>
              </w:rPr>
              <w:t xml:space="preserve">59560.78 </w:t>
            </w:r>
          </w:p>
        </w:tc>
        <w:tc>
          <w:tcPr>
            <w:tcW w:w="495" w:type="pct"/>
            <w:tcBorders>
              <w:tl2br w:val="nil"/>
              <w:tr2bl w:val="nil"/>
            </w:tcBorders>
            <w:noWrap w:val="0"/>
            <w:vAlign w:val="center"/>
          </w:tcPr>
          <w:p w14:paraId="3FD92F49">
            <w:pPr>
              <w:pStyle w:val="34"/>
              <w:bidi w:val="0"/>
              <w:rPr>
                <w:rFonts w:hint="default"/>
              </w:rPr>
            </w:pPr>
            <w:r>
              <w:rPr>
                <w:rFonts w:hint="default"/>
                <w:lang w:val="en-US" w:eastAsia="zh-CN"/>
              </w:rPr>
              <w:t xml:space="preserve">17561.70 </w:t>
            </w:r>
          </w:p>
        </w:tc>
        <w:tc>
          <w:tcPr>
            <w:tcW w:w="430" w:type="pct"/>
            <w:tcBorders>
              <w:tl2br w:val="nil"/>
              <w:tr2bl w:val="nil"/>
            </w:tcBorders>
            <w:noWrap w:val="0"/>
            <w:vAlign w:val="center"/>
          </w:tcPr>
          <w:p w14:paraId="6278ACF3">
            <w:pPr>
              <w:pStyle w:val="34"/>
              <w:bidi w:val="0"/>
              <w:rPr>
                <w:rFonts w:hint="default"/>
              </w:rPr>
            </w:pPr>
            <w:r>
              <w:rPr>
                <w:rFonts w:hint="default"/>
                <w:lang w:val="en-US" w:eastAsia="zh-CN"/>
              </w:rPr>
              <w:t xml:space="preserve">24505.56 </w:t>
            </w:r>
          </w:p>
        </w:tc>
        <w:tc>
          <w:tcPr>
            <w:tcW w:w="366" w:type="pct"/>
            <w:tcBorders>
              <w:tl2br w:val="nil"/>
              <w:tr2bl w:val="nil"/>
            </w:tcBorders>
            <w:noWrap w:val="0"/>
            <w:vAlign w:val="center"/>
          </w:tcPr>
          <w:p w14:paraId="3659034A">
            <w:pPr>
              <w:pStyle w:val="34"/>
              <w:bidi w:val="0"/>
              <w:rPr>
                <w:rFonts w:hint="default"/>
              </w:rPr>
            </w:pPr>
            <w:r>
              <w:rPr>
                <w:rFonts w:hint="default"/>
                <w:lang w:val="en-US" w:eastAsia="zh-CN"/>
              </w:rPr>
              <w:t xml:space="preserve">245.53 </w:t>
            </w:r>
          </w:p>
        </w:tc>
        <w:tc>
          <w:tcPr>
            <w:tcW w:w="409" w:type="pct"/>
            <w:tcBorders>
              <w:tl2br w:val="nil"/>
              <w:tr2bl w:val="nil"/>
            </w:tcBorders>
            <w:noWrap w:val="0"/>
            <w:vAlign w:val="center"/>
          </w:tcPr>
          <w:p w14:paraId="4443F19B">
            <w:pPr>
              <w:pStyle w:val="34"/>
              <w:bidi w:val="0"/>
              <w:rPr>
                <w:rFonts w:hint="default"/>
              </w:rPr>
            </w:pPr>
            <w:r>
              <w:rPr>
                <w:rFonts w:hint="default"/>
                <w:lang w:val="en-US" w:eastAsia="zh-CN"/>
              </w:rPr>
              <w:t xml:space="preserve">1692.51 </w:t>
            </w:r>
          </w:p>
        </w:tc>
        <w:tc>
          <w:tcPr>
            <w:tcW w:w="414" w:type="pct"/>
            <w:tcBorders>
              <w:tl2br w:val="nil"/>
              <w:tr2bl w:val="nil"/>
            </w:tcBorders>
            <w:noWrap w:val="0"/>
            <w:vAlign w:val="center"/>
          </w:tcPr>
          <w:p w14:paraId="35CBF8D9">
            <w:pPr>
              <w:pStyle w:val="34"/>
              <w:bidi w:val="0"/>
              <w:rPr>
                <w:rFonts w:hint="default"/>
              </w:rPr>
            </w:pPr>
            <w:r>
              <w:rPr>
                <w:rFonts w:hint="default"/>
                <w:lang w:val="en-US" w:eastAsia="zh-CN"/>
              </w:rPr>
              <w:t xml:space="preserve">2420.29 </w:t>
            </w:r>
          </w:p>
        </w:tc>
        <w:tc>
          <w:tcPr>
            <w:tcW w:w="392" w:type="pct"/>
            <w:tcBorders>
              <w:tl2br w:val="nil"/>
              <w:tr2bl w:val="nil"/>
            </w:tcBorders>
            <w:noWrap w:val="0"/>
            <w:vAlign w:val="center"/>
          </w:tcPr>
          <w:p w14:paraId="68E74FB5">
            <w:pPr>
              <w:pStyle w:val="34"/>
              <w:bidi w:val="0"/>
              <w:rPr>
                <w:rFonts w:hint="default"/>
              </w:rPr>
            </w:pPr>
            <w:r>
              <w:rPr>
                <w:rFonts w:hint="default"/>
                <w:lang w:val="en-US" w:eastAsia="zh-CN"/>
              </w:rPr>
              <w:t xml:space="preserve">3249.79 </w:t>
            </w:r>
          </w:p>
        </w:tc>
        <w:tc>
          <w:tcPr>
            <w:tcW w:w="419" w:type="pct"/>
            <w:tcBorders>
              <w:tl2br w:val="nil"/>
              <w:tr2bl w:val="nil"/>
            </w:tcBorders>
            <w:noWrap w:val="0"/>
            <w:vAlign w:val="center"/>
          </w:tcPr>
          <w:p w14:paraId="24B178D5">
            <w:pPr>
              <w:pStyle w:val="34"/>
              <w:bidi w:val="0"/>
              <w:rPr>
                <w:rFonts w:hint="default"/>
              </w:rPr>
            </w:pPr>
            <w:r>
              <w:rPr>
                <w:rFonts w:hint="default"/>
                <w:lang w:val="en-US" w:eastAsia="zh-CN"/>
              </w:rPr>
              <w:t xml:space="preserve">4470.78 </w:t>
            </w:r>
          </w:p>
        </w:tc>
        <w:tc>
          <w:tcPr>
            <w:tcW w:w="424" w:type="pct"/>
            <w:tcBorders>
              <w:tl2br w:val="nil"/>
              <w:tr2bl w:val="nil"/>
            </w:tcBorders>
            <w:noWrap w:val="0"/>
            <w:vAlign w:val="center"/>
          </w:tcPr>
          <w:p w14:paraId="2889669B">
            <w:pPr>
              <w:pStyle w:val="34"/>
              <w:bidi w:val="0"/>
              <w:rPr>
                <w:rFonts w:hint="default"/>
              </w:rPr>
            </w:pPr>
            <w:r>
              <w:rPr>
                <w:rFonts w:hint="default"/>
                <w:lang w:val="en-US" w:eastAsia="zh-CN"/>
              </w:rPr>
              <w:t xml:space="preserve">5414.62 </w:t>
            </w:r>
          </w:p>
        </w:tc>
      </w:tr>
      <w:tr w14:paraId="19E33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17" w:type="pct"/>
            <w:tcBorders>
              <w:tl2br w:val="nil"/>
              <w:tr2bl w:val="nil"/>
            </w:tcBorders>
            <w:noWrap w:val="0"/>
            <w:vAlign w:val="center"/>
          </w:tcPr>
          <w:p w14:paraId="3F921A6B">
            <w:pPr>
              <w:pStyle w:val="34"/>
              <w:bidi w:val="0"/>
              <w:rPr>
                <w:rFonts w:hint="default"/>
              </w:rPr>
            </w:pPr>
            <w:r>
              <w:rPr>
                <w:rFonts w:hint="default"/>
                <w:lang w:val="en-US" w:eastAsia="zh-CN"/>
              </w:rPr>
              <w:t>3079</w:t>
            </w:r>
          </w:p>
        </w:tc>
        <w:tc>
          <w:tcPr>
            <w:tcW w:w="453" w:type="pct"/>
            <w:tcBorders>
              <w:tl2br w:val="nil"/>
              <w:tr2bl w:val="nil"/>
            </w:tcBorders>
            <w:noWrap w:val="0"/>
            <w:vAlign w:val="center"/>
          </w:tcPr>
          <w:p w14:paraId="2FACBEA2">
            <w:pPr>
              <w:pStyle w:val="34"/>
              <w:bidi w:val="0"/>
              <w:rPr>
                <w:rFonts w:hint="default"/>
              </w:rPr>
            </w:pPr>
            <w:r>
              <w:rPr>
                <w:rFonts w:hint="default"/>
                <w:lang w:val="en-US" w:eastAsia="zh-CN"/>
              </w:rPr>
              <w:t>M7.5砂浆抹面</w:t>
            </w:r>
          </w:p>
        </w:tc>
        <w:tc>
          <w:tcPr>
            <w:tcW w:w="375" w:type="pct"/>
            <w:tcBorders>
              <w:tl2br w:val="nil"/>
              <w:tr2bl w:val="nil"/>
            </w:tcBorders>
            <w:noWrap w:val="0"/>
            <w:vAlign w:val="center"/>
          </w:tcPr>
          <w:p w14:paraId="35ABCD4C">
            <w:pPr>
              <w:pStyle w:val="34"/>
              <w:bidi w:val="0"/>
              <w:rPr>
                <w:rFonts w:hint="default"/>
              </w:rPr>
            </w:pPr>
            <w:r>
              <w:rPr>
                <w:rFonts w:hint="default"/>
                <w:lang w:val="en-US" w:eastAsia="zh-CN"/>
              </w:rPr>
              <w:t>100m</w:t>
            </w:r>
            <w:r>
              <w:rPr>
                <w:rFonts w:hint="default"/>
                <w:vertAlign w:val="superscript"/>
                <w:lang w:val="en-US" w:eastAsia="zh-CN"/>
              </w:rPr>
              <w:t>2</w:t>
            </w:r>
          </w:p>
        </w:tc>
        <w:tc>
          <w:tcPr>
            <w:tcW w:w="500" w:type="pct"/>
            <w:tcBorders>
              <w:tl2br w:val="nil"/>
              <w:tr2bl w:val="nil"/>
            </w:tcBorders>
            <w:noWrap w:val="0"/>
            <w:vAlign w:val="center"/>
          </w:tcPr>
          <w:p w14:paraId="1969AD7D">
            <w:pPr>
              <w:pStyle w:val="34"/>
              <w:bidi w:val="0"/>
              <w:rPr>
                <w:rFonts w:hint="default"/>
              </w:rPr>
            </w:pPr>
            <w:r>
              <w:rPr>
                <w:rFonts w:hint="default"/>
                <w:lang w:val="en-US" w:eastAsia="zh-CN"/>
              </w:rPr>
              <w:t xml:space="preserve">4036.57 </w:t>
            </w:r>
          </w:p>
        </w:tc>
        <w:tc>
          <w:tcPr>
            <w:tcW w:w="495" w:type="pct"/>
            <w:tcBorders>
              <w:tl2br w:val="nil"/>
              <w:tr2bl w:val="nil"/>
            </w:tcBorders>
            <w:noWrap w:val="0"/>
            <w:vAlign w:val="center"/>
          </w:tcPr>
          <w:p w14:paraId="2F2CD0EA">
            <w:pPr>
              <w:pStyle w:val="34"/>
              <w:bidi w:val="0"/>
              <w:rPr>
                <w:rFonts w:hint="default"/>
              </w:rPr>
            </w:pPr>
            <w:r>
              <w:rPr>
                <w:rFonts w:hint="default"/>
                <w:lang w:val="en-US" w:eastAsia="zh-CN"/>
              </w:rPr>
              <w:t xml:space="preserve">1694.55 </w:t>
            </w:r>
          </w:p>
        </w:tc>
        <w:tc>
          <w:tcPr>
            <w:tcW w:w="430" w:type="pct"/>
            <w:tcBorders>
              <w:tl2br w:val="nil"/>
              <w:tr2bl w:val="nil"/>
            </w:tcBorders>
            <w:noWrap w:val="0"/>
            <w:vAlign w:val="center"/>
          </w:tcPr>
          <w:p w14:paraId="7A9A4403">
            <w:pPr>
              <w:pStyle w:val="34"/>
              <w:bidi w:val="0"/>
              <w:rPr>
                <w:rFonts w:hint="default"/>
              </w:rPr>
            </w:pPr>
            <w:r>
              <w:rPr>
                <w:rFonts w:hint="default"/>
                <w:lang w:val="en-US" w:eastAsia="zh-CN"/>
              </w:rPr>
              <w:t xml:space="preserve">1150.32 </w:t>
            </w:r>
          </w:p>
        </w:tc>
        <w:tc>
          <w:tcPr>
            <w:tcW w:w="366" w:type="pct"/>
            <w:tcBorders>
              <w:tl2br w:val="nil"/>
              <w:tr2bl w:val="nil"/>
            </w:tcBorders>
            <w:noWrap w:val="0"/>
            <w:vAlign w:val="center"/>
          </w:tcPr>
          <w:p w14:paraId="619F7D34">
            <w:pPr>
              <w:pStyle w:val="34"/>
              <w:bidi w:val="0"/>
              <w:rPr>
                <w:rFonts w:hint="default"/>
              </w:rPr>
            </w:pPr>
            <w:r>
              <w:rPr>
                <w:rFonts w:hint="default"/>
                <w:lang w:val="en-US" w:eastAsia="zh-CN"/>
              </w:rPr>
              <w:t xml:space="preserve">22.77 </w:t>
            </w:r>
          </w:p>
        </w:tc>
        <w:tc>
          <w:tcPr>
            <w:tcW w:w="409" w:type="pct"/>
            <w:tcBorders>
              <w:tl2br w:val="nil"/>
              <w:tr2bl w:val="nil"/>
            </w:tcBorders>
            <w:noWrap w:val="0"/>
            <w:vAlign w:val="center"/>
          </w:tcPr>
          <w:p w14:paraId="0E67AA36">
            <w:pPr>
              <w:pStyle w:val="34"/>
              <w:bidi w:val="0"/>
              <w:rPr>
                <w:rFonts w:hint="default"/>
              </w:rPr>
            </w:pPr>
            <w:r>
              <w:rPr>
                <w:rFonts w:hint="default"/>
                <w:lang w:val="en-US" w:eastAsia="zh-CN"/>
              </w:rPr>
              <w:t xml:space="preserve">114.71 </w:t>
            </w:r>
          </w:p>
        </w:tc>
        <w:tc>
          <w:tcPr>
            <w:tcW w:w="414" w:type="pct"/>
            <w:tcBorders>
              <w:tl2br w:val="nil"/>
              <w:tr2bl w:val="nil"/>
            </w:tcBorders>
            <w:noWrap w:val="0"/>
            <w:vAlign w:val="center"/>
          </w:tcPr>
          <w:p w14:paraId="7EBB0BE1">
            <w:pPr>
              <w:pStyle w:val="34"/>
              <w:bidi w:val="0"/>
              <w:rPr>
                <w:rFonts w:hint="default"/>
              </w:rPr>
            </w:pPr>
            <w:r>
              <w:rPr>
                <w:rFonts w:hint="default"/>
                <w:lang w:val="en-US" w:eastAsia="zh-CN"/>
              </w:rPr>
              <w:t xml:space="preserve">164.03 </w:t>
            </w:r>
          </w:p>
        </w:tc>
        <w:tc>
          <w:tcPr>
            <w:tcW w:w="392" w:type="pct"/>
            <w:tcBorders>
              <w:tl2br w:val="nil"/>
              <w:tr2bl w:val="nil"/>
            </w:tcBorders>
            <w:noWrap w:val="0"/>
            <w:vAlign w:val="center"/>
          </w:tcPr>
          <w:p w14:paraId="1ADD8729">
            <w:pPr>
              <w:pStyle w:val="34"/>
              <w:bidi w:val="0"/>
              <w:rPr>
                <w:rFonts w:hint="default"/>
              </w:rPr>
            </w:pPr>
            <w:r>
              <w:rPr>
                <w:rFonts w:hint="default"/>
                <w:lang w:val="en-US" w:eastAsia="zh-CN"/>
              </w:rPr>
              <w:t xml:space="preserve">220.25 </w:t>
            </w:r>
          </w:p>
        </w:tc>
        <w:tc>
          <w:tcPr>
            <w:tcW w:w="419" w:type="pct"/>
            <w:tcBorders>
              <w:tl2br w:val="nil"/>
              <w:tr2bl w:val="nil"/>
            </w:tcBorders>
            <w:noWrap w:val="0"/>
            <w:vAlign w:val="center"/>
          </w:tcPr>
          <w:p w14:paraId="2DE14139">
            <w:pPr>
              <w:pStyle w:val="34"/>
              <w:bidi w:val="0"/>
              <w:rPr>
                <w:rFonts w:hint="default"/>
              </w:rPr>
            </w:pPr>
            <w:r>
              <w:rPr>
                <w:rFonts w:hint="default"/>
                <w:lang w:val="en-US" w:eastAsia="zh-CN"/>
              </w:rPr>
              <w:t xml:space="preserve">303.00 </w:t>
            </w:r>
          </w:p>
        </w:tc>
        <w:tc>
          <w:tcPr>
            <w:tcW w:w="424" w:type="pct"/>
            <w:tcBorders>
              <w:tl2br w:val="nil"/>
              <w:tr2bl w:val="nil"/>
            </w:tcBorders>
            <w:noWrap w:val="0"/>
            <w:vAlign w:val="center"/>
          </w:tcPr>
          <w:p w14:paraId="4DCBD2B4">
            <w:pPr>
              <w:pStyle w:val="34"/>
              <w:bidi w:val="0"/>
              <w:rPr>
                <w:rFonts w:hint="default"/>
              </w:rPr>
            </w:pPr>
            <w:r>
              <w:rPr>
                <w:rFonts w:hint="default"/>
                <w:lang w:val="en-US" w:eastAsia="zh-CN"/>
              </w:rPr>
              <w:t xml:space="preserve">366.96 </w:t>
            </w:r>
          </w:p>
        </w:tc>
      </w:tr>
      <w:tr w14:paraId="46F759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17" w:type="pct"/>
            <w:tcBorders>
              <w:tl2br w:val="nil"/>
              <w:tr2bl w:val="nil"/>
            </w:tcBorders>
            <w:noWrap/>
            <w:vAlign w:val="center"/>
          </w:tcPr>
          <w:p w14:paraId="3E0B56A7">
            <w:pPr>
              <w:pStyle w:val="34"/>
              <w:bidi w:val="0"/>
              <w:rPr>
                <w:rFonts w:hint="default"/>
              </w:rPr>
            </w:pPr>
            <w:r>
              <w:rPr>
                <w:rFonts w:hint="default"/>
                <w:lang w:val="en-US" w:eastAsia="zh-CN"/>
              </w:rPr>
              <w:t>3003</w:t>
            </w:r>
          </w:p>
        </w:tc>
        <w:tc>
          <w:tcPr>
            <w:tcW w:w="453" w:type="pct"/>
            <w:tcBorders>
              <w:tl2br w:val="nil"/>
              <w:tr2bl w:val="nil"/>
            </w:tcBorders>
            <w:noWrap w:val="0"/>
            <w:vAlign w:val="center"/>
          </w:tcPr>
          <w:p w14:paraId="08256520">
            <w:pPr>
              <w:pStyle w:val="34"/>
              <w:bidi w:val="0"/>
              <w:rPr>
                <w:rFonts w:hint="default"/>
              </w:rPr>
            </w:pPr>
            <w:r>
              <w:rPr>
                <w:rFonts w:hint="default"/>
                <w:lang w:val="en-US" w:eastAsia="zh-CN"/>
              </w:rPr>
              <w:t>防雨布遮盖</w:t>
            </w:r>
          </w:p>
        </w:tc>
        <w:tc>
          <w:tcPr>
            <w:tcW w:w="375" w:type="pct"/>
            <w:tcBorders>
              <w:tl2br w:val="nil"/>
              <w:tr2bl w:val="nil"/>
            </w:tcBorders>
            <w:noWrap w:val="0"/>
            <w:vAlign w:val="center"/>
          </w:tcPr>
          <w:p w14:paraId="2B5E61FF">
            <w:pPr>
              <w:pStyle w:val="34"/>
              <w:bidi w:val="0"/>
              <w:rPr>
                <w:rFonts w:hint="default"/>
              </w:rPr>
            </w:pPr>
            <w:r>
              <w:rPr>
                <w:rFonts w:hint="default"/>
                <w:lang w:val="en-US" w:eastAsia="zh-CN"/>
              </w:rPr>
              <w:t>100m</w:t>
            </w:r>
            <w:r>
              <w:rPr>
                <w:rFonts w:hint="default"/>
                <w:vertAlign w:val="superscript"/>
                <w:lang w:val="en-US" w:eastAsia="zh-CN"/>
              </w:rPr>
              <w:t>2</w:t>
            </w:r>
          </w:p>
        </w:tc>
        <w:tc>
          <w:tcPr>
            <w:tcW w:w="500" w:type="pct"/>
            <w:tcBorders>
              <w:tl2br w:val="nil"/>
              <w:tr2bl w:val="nil"/>
            </w:tcBorders>
            <w:noWrap w:val="0"/>
            <w:vAlign w:val="center"/>
          </w:tcPr>
          <w:p w14:paraId="1EF8ED7C">
            <w:pPr>
              <w:pStyle w:val="34"/>
              <w:bidi w:val="0"/>
              <w:rPr>
                <w:rFonts w:hint="default"/>
              </w:rPr>
            </w:pPr>
            <w:r>
              <w:rPr>
                <w:rFonts w:hint="default"/>
                <w:lang w:val="en-US" w:eastAsia="zh-CN"/>
              </w:rPr>
              <w:t xml:space="preserve">920.11 </w:t>
            </w:r>
          </w:p>
        </w:tc>
        <w:tc>
          <w:tcPr>
            <w:tcW w:w="495" w:type="pct"/>
            <w:tcBorders>
              <w:tl2br w:val="nil"/>
              <w:tr2bl w:val="nil"/>
            </w:tcBorders>
            <w:noWrap/>
            <w:vAlign w:val="center"/>
          </w:tcPr>
          <w:p w14:paraId="39BF16DB">
            <w:pPr>
              <w:pStyle w:val="34"/>
              <w:bidi w:val="0"/>
              <w:rPr>
                <w:rFonts w:hint="default"/>
              </w:rPr>
            </w:pPr>
            <w:r>
              <w:rPr>
                <w:rFonts w:hint="default"/>
                <w:lang w:val="en-US" w:eastAsia="zh-CN"/>
              </w:rPr>
              <w:t xml:space="preserve">316.00 </w:t>
            </w:r>
          </w:p>
        </w:tc>
        <w:tc>
          <w:tcPr>
            <w:tcW w:w="430" w:type="pct"/>
            <w:tcBorders>
              <w:tl2br w:val="nil"/>
              <w:tr2bl w:val="nil"/>
            </w:tcBorders>
            <w:noWrap/>
            <w:vAlign w:val="center"/>
          </w:tcPr>
          <w:p w14:paraId="38FC484B">
            <w:pPr>
              <w:pStyle w:val="34"/>
              <w:bidi w:val="0"/>
              <w:rPr>
                <w:rFonts w:hint="default"/>
              </w:rPr>
            </w:pPr>
            <w:r>
              <w:rPr>
                <w:rFonts w:hint="default"/>
                <w:lang w:val="en-US" w:eastAsia="zh-CN"/>
              </w:rPr>
              <w:t xml:space="preserve">349.25 </w:t>
            </w:r>
          </w:p>
        </w:tc>
        <w:tc>
          <w:tcPr>
            <w:tcW w:w="366" w:type="pct"/>
            <w:tcBorders>
              <w:tl2br w:val="nil"/>
              <w:tr2bl w:val="nil"/>
            </w:tcBorders>
            <w:noWrap/>
            <w:vAlign w:val="center"/>
          </w:tcPr>
          <w:p w14:paraId="42A579D0">
            <w:pPr>
              <w:pStyle w:val="34"/>
              <w:bidi w:val="0"/>
              <w:rPr>
                <w:rFonts w:hint="default"/>
              </w:rPr>
            </w:pPr>
            <w:r>
              <w:rPr>
                <w:rFonts w:hint="default"/>
                <w:lang w:val="en-US" w:eastAsia="zh-CN"/>
              </w:rPr>
              <w:t>0</w:t>
            </w:r>
          </w:p>
        </w:tc>
        <w:tc>
          <w:tcPr>
            <w:tcW w:w="409" w:type="pct"/>
            <w:tcBorders>
              <w:tl2br w:val="nil"/>
              <w:tr2bl w:val="nil"/>
            </w:tcBorders>
            <w:noWrap/>
            <w:vAlign w:val="center"/>
          </w:tcPr>
          <w:p w14:paraId="3982F81D">
            <w:pPr>
              <w:pStyle w:val="34"/>
              <w:bidi w:val="0"/>
              <w:rPr>
                <w:rFonts w:hint="default"/>
              </w:rPr>
            </w:pPr>
            <w:r>
              <w:rPr>
                <w:rFonts w:hint="default"/>
                <w:lang w:val="en-US" w:eastAsia="zh-CN"/>
              </w:rPr>
              <w:t xml:space="preserve">14.56 </w:t>
            </w:r>
          </w:p>
        </w:tc>
        <w:tc>
          <w:tcPr>
            <w:tcW w:w="414" w:type="pct"/>
            <w:tcBorders>
              <w:tl2br w:val="nil"/>
              <w:tr2bl w:val="nil"/>
            </w:tcBorders>
            <w:noWrap/>
            <w:vAlign w:val="center"/>
          </w:tcPr>
          <w:p w14:paraId="2CE994EA">
            <w:pPr>
              <w:pStyle w:val="34"/>
              <w:bidi w:val="0"/>
              <w:rPr>
                <w:rFonts w:hint="default"/>
              </w:rPr>
            </w:pPr>
            <w:r>
              <w:rPr>
                <w:rFonts w:hint="default"/>
                <w:lang w:val="en-US" w:eastAsia="zh-CN"/>
              </w:rPr>
              <w:t xml:space="preserve">37.39 </w:t>
            </w:r>
          </w:p>
        </w:tc>
        <w:tc>
          <w:tcPr>
            <w:tcW w:w="392" w:type="pct"/>
            <w:tcBorders>
              <w:tl2br w:val="nil"/>
              <w:tr2bl w:val="nil"/>
            </w:tcBorders>
            <w:noWrap/>
            <w:vAlign w:val="center"/>
          </w:tcPr>
          <w:p w14:paraId="08C45E78">
            <w:pPr>
              <w:pStyle w:val="34"/>
              <w:bidi w:val="0"/>
              <w:rPr>
                <w:rFonts w:hint="default"/>
              </w:rPr>
            </w:pPr>
            <w:r>
              <w:rPr>
                <w:rFonts w:hint="default"/>
                <w:lang w:val="en-US" w:eastAsia="zh-CN"/>
              </w:rPr>
              <w:t xml:space="preserve">50.20 </w:t>
            </w:r>
          </w:p>
        </w:tc>
        <w:tc>
          <w:tcPr>
            <w:tcW w:w="419" w:type="pct"/>
            <w:tcBorders>
              <w:tl2br w:val="nil"/>
              <w:tr2bl w:val="nil"/>
            </w:tcBorders>
            <w:noWrap/>
            <w:vAlign w:val="center"/>
          </w:tcPr>
          <w:p w14:paraId="30973368">
            <w:pPr>
              <w:pStyle w:val="34"/>
              <w:bidi w:val="0"/>
              <w:rPr>
                <w:rFonts w:hint="default"/>
              </w:rPr>
            </w:pPr>
            <w:r>
              <w:rPr>
                <w:rFonts w:hint="default"/>
                <w:lang w:val="en-US" w:eastAsia="zh-CN"/>
              </w:rPr>
              <w:t xml:space="preserve">69.07 </w:t>
            </w:r>
          </w:p>
        </w:tc>
        <w:tc>
          <w:tcPr>
            <w:tcW w:w="424" w:type="pct"/>
            <w:tcBorders>
              <w:tl2br w:val="nil"/>
              <w:tr2bl w:val="nil"/>
            </w:tcBorders>
            <w:noWrap/>
            <w:vAlign w:val="center"/>
          </w:tcPr>
          <w:p w14:paraId="153544E9">
            <w:pPr>
              <w:pStyle w:val="34"/>
              <w:bidi w:val="0"/>
              <w:rPr>
                <w:rFonts w:hint="default"/>
              </w:rPr>
            </w:pPr>
            <w:r>
              <w:rPr>
                <w:rFonts w:hint="default"/>
                <w:lang w:val="en-US" w:eastAsia="zh-CN"/>
              </w:rPr>
              <w:t xml:space="preserve">83.65 </w:t>
            </w:r>
          </w:p>
        </w:tc>
      </w:tr>
    </w:tbl>
    <w:p w14:paraId="3937137F">
      <w:pPr>
        <w:bidi w:val="0"/>
        <w:rPr>
          <w:rFonts w:hint="eastAsia"/>
          <w:color w:val="0000FF"/>
        </w:rPr>
      </w:pPr>
    </w:p>
    <w:p w14:paraId="52CF8F8E">
      <w:pPr>
        <w:pStyle w:val="5"/>
        <w:bidi w:val="0"/>
        <w:rPr>
          <w:color w:val="auto"/>
        </w:rPr>
      </w:pPr>
      <w:r>
        <w:rPr>
          <w:rFonts w:hint="eastAsia"/>
          <w:color w:val="auto"/>
        </w:rPr>
        <w:t>7</w:t>
      </w:r>
      <w:r>
        <w:rPr>
          <w:color w:val="auto"/>
        </w:rPr>
        <w:t>.2.1效益评价的原则</w:t>
      </w:r>
      <w:bookmarkEnd w:id="170"/>
      <w:bookmarkEnd w:id="171"/>
      <w:bookmarkEnd w:id="172"/>
      <w:bookmarkEnd w:id="173"/>
    </w:p>
    <w:p w14:paraId="35922ACC">
      <w:pPr>
        <w:ind w:firstLine="480"/>
        <w:rPr>
          <w:color w:val="auto"/>
        </w:rPr>
      </w:pPr>
      <w:r>
        <w:rPr>
          <w:color w:val="auto"/>
        </w:rPr>
        <w:t>水土保持效益分析以区域生态规划和经济可持续发展为原则，本工程的水土保持方案以减轻和控制责任范围内的水土流失为目的，落实国家及地方有关水土保持法律法规的要求，通过水土保持工程措施和临时措施的实施后，着重分析本水土保持方案实施后在控制人为水土流失方面产生的保水保土、改善生态环境、促进可持续发展方面的效益和作用。</w:t>
      </w:r>
    </w:p>
    <w:p w14:paraId="0DFD15D3">
      <w:pPr>
        <w:pStyle w:val="5"/>
        <w:bidi w:val="0"/>
        <w:rPr>
          <w:color w:val="auto"/>
        </w:rPr>
      </w:pPr>
      <w:bookmarkStart w:id="174" w:name="_Toc4996"/>
      <w:bookmarkStart w:id="175" w:name="_Toc10627"/>
      <w:r>
        <w:rPr>
          <w:rFonts w:hint="eastAsia"/>
          <w:color w:val="auto"/>
        </w:rPr>
        <w:t>7</w:t>
      </w:r>
      <w:r>
        <w:rPr>
          <w:color w:val="auto"/>
        </w:rPr>
        <w:t>.2.2分析计算方法和内容</w:t>
      </w:r>
      <w:bookmarkEnd w:id="174"/>
      <w:bookmarkEnd w:id="175"/>
    </w:p>
    <w:p w14:paraId="7D6EC688">
      <w:pPr>
        <w:ind w:firstLine="480"/>
        <w:rPr>
          <w:color w:val="auto"/>
        </w:rPr>
      </w:pPr>
      <w:r>
        <w:rPr>
          <w:rFonts w:hint="eastAsia"/>
          <w:color w:val="auto"/>
        </w:rPr>
        <w:t>在各项措施实施后，项目区水土流失基本得到控制，方案实施可有效防治因工程建设造成的水土流失，防止土壤被雨水、径流冲刷，保护水土资源，使占地区域内的水土流失得到有效控制，生态环境得到恢复。通过本方案的实施，使工程建设区的水土流失得到有效治理，损坏的水土保持功能得到恢复和改善。方案实施后所有的扰动面积都将得到利用、硬化或绿化处理。</w:t>
      </w:r>
    </w:p>
    <w:p w14:paraId="43A32428">
      <w:pPr>
        <w:ind w:firstLine="480"/>
        <w:rPr>
          <w:color w:val="auto"/>
        </w:rPr>
      </w:pPr>
      <w:r>
        <w:rPr>
          <w:rFonts w:hint="eastAsia"/>
          <w:color w:val="auto"/>
        </w:rPr>
        <w:t>六项指标的计算方法：</w:t>
      </w:r>
    </w:p>
    <w:p w14:paraId="6D10F917">
      <w:pPr>
        <w:spacing w:line="240" w:lineRule="auto"/>
        <w:ind w:firstLine="480"/>
        <w:rPr>
          <w:rFonts w:hint="eastAsia" w:eastAsia="仿宋_GB2312"/>
          <w:color w:val="auto"/>
          <w:lang w:eastAsia="zh-CN"/>
        </w:rPr>
      </w:pPr>
      <w:r>
        <w:rPr>
          <w:color w:val="auto"/>
        </w:rPr>
        <w:t>水土流失治理度（%）=</w:t>
      </w:r>
      <w:r>
        <w:rPr>
          <w:color w:val="auto"/>
          <w:position w:val="-26"/>
        </w:rPr>
        <w:object>
          <v:shape id="_x0000_i1025" o:spt="75" type="#_x0000_t75" style="height:33pt;width:198.75pt;" o:ole="t" filled="f" o:preferrelative="t" stroked="f" coordsize="21600,21600">
            <v:path/>
            <v:fill on="f" focussize="0,0"/>
            <v:stroke on="f"/>
            <v:imagedata r:id="rId35" o:title=""/>
            <o:lock v:ext="edit" aspectratio="t"/>
            <w10:wrap type="none"/>
            <w10:anchorlock/>
          </v:shape>
          <o:OLEObject Type="Embed" ProgID="Equation.KSEE3" ShapeID="_x0000_i1025" DrawAspect="Content" ObjectID="_1468075725" r:id="rId34">
            <o:LockedField>false</o:LockedField>
          </o:OLEObject>
        </w:object>
      </w:r>
    </w:p>
    <w:p w14:paraId="3494C966">
      <w:pPr>
        <w:pStyle w:val="14"/>
        <w:spacing w:line="240" w:lineRule="auto"/>
        <w:ind w:firstLine="480"/>
        <w:rPr>
          <w:color w:val="auto"/>
        </w:rPr>
      </w:pPr>
      <w:r>
        <w:rPr>
          <w:color w:val="auto"/>
        </w:rPr>
        <w:t>土壤流失控制比=</w:t>
      </w:r>
      <w:r>
        <w:rPr>
          <w:color w:val="auto"/>
        </w:rPr>
        <w:fldChar w:fldCharType="begin"/>
      </w:r>
      <w:r>
        <w:rPr>
          <w:color w:val="auto"/>
        </w:rPr>
        <w:instrText xml:space="preserve"> EQ \F(容许土壤流失量,治理后的平均土壤流失强度) </w:instrText>
      </w:r>
      <w:r>
        <w:rPr>
          <w:color w:val="auto"/>
        </w:rPr>
        <w:fldChar w:fldCharType="end"/>
      </w:r>
    </w:p>
    <w:p w14:paraId="0469E211">
      <w:pPr>
        <w:pStyle w:val="14"/>
        <w:spacing w:line="240" w:lineRule="auto"/>
        <w:ind w:firstLine="480"/>
        <w:rPr>
          <w:color w:val="auto"/>
        </w:rPr>
      </w:pPr>
      <w:r>
        <w:rPr>
          <w:rFonts w:hint="eastAsia"/>
          <w:color w:val="auto"/>
        </w:rPr>
        <w:t>渣土防护率</w:t>
      </w:r>
      <w:r>
        <w:rPr>
          <w:color w:val="auto"/>
        </w:rPr>
        <w:t>（%）=</w:t>
      </w:r>
      <w:r>
        <w:rPr>
          <w:color w:val="auto"/>
          <w:position w:val="-26"/>
        </w:rPr>
        <w:object>
          <v:shape id="_x0000_i1026" o:spt="75" type="#_x0000_t75" style="height:33pt;width:125.25pt;" o:ole="t" filled="f" o:preferrelative="t" stroked="f" coordsize="21600,21600">
            <v:path/>
            <v:fill on="f" focussize="0,0"/>
            <v:stroke on="f" joinstyle="miter"/>
            <v:imagedata r:id="rId37" o:title=""/>
            <o:lock v:ext="edit" aspectratio="t"/>
            <w10:wrap type="none"/>
            <w10:anchorlock/>
          </v:shape>
          <o:OLEObject Type="Embed" ProgID="Equations" ShapeID="_x0000_i1026" DrawAspect="Content" ObjectID="_1468075726" r:id="rId36">
            <o:LockedField>false</o:LockedField>
          </o:OLEObject>
        </w:object>
      </w:r>
      <w:r>
        <w:rPr>
          <w:color w:val="auto"/>
        </w:rPr>
        <w:t>×100%</w:t>
      </w:r>
    </w:p>
    <w:p w14:paraId="0E29DC6F">
      <w:pPr>
        <w:pStyle w:val="14"/>
        <w:spacing w:line="240" w:lineRule="auto"/>
        <w:ind w:firstLine="480"/>
        <w:rPr>
          <w:color w:val="auto"/>
        </w:rPr>
      </w:pPr>
      <w:r>
        <w:rPr>
          <w:rFonts w:hint="eastAsia"/>
          <w:color w:val="auto"/>
        </w:rPr>
        <w:t>表土保护率（%）=</w:t>
      </w:r>
      <w:r>
        <w:rPr>
          <w:rFonts w:hint="eastAsia"/>
          <w:color w:val="auto"/>
          <w:position w:val="-26"/>
        </w:rPr>
        <w:object>
          <v:shape id="_x0000_i1027" o:spt="75" type="#_x0000_t75" style="height:33pt;width:148.5pt;" o:ole="t" filled="f" o:preferrelative="t" stroked="f" coordsize="21600,21600">
            <v:path/>
            <v:fill on="f" focussize="0,0"/>
            <v:stroke on="f" joinstyle="miter"/>
            <v:imagedata r:id="rId39" o:title=""/>
            <o:lock v:ext="edit" aspectratio="t"/>
            <w10:wrap type="none"/>
            <w10:anchorlock/>
          </v:shape>
          <o:OLEObject Type="Embed" ProgID="Equations" ShapeID="_x0000_i1027" DrawAspect="Content" ObjectID="_1468075727" r:id="rId38">
            <o:LockedField>false</o:LockedField>
          </o:OLEObject>
        </w:object>
      </w:r>
      <w:r>
        <w:rPr>
          <w:rFonts w:ascii="Arial" w:hAnsi="Arial" w:cs="Arial"/>
          <w:color w:val="auto"/>
        </w:rPr>
        <w:t>×</w:t>
      </w:r>
      <w:r>
        <w:rPr>
          <w:rFonts w:hint="eastAsia"/>
          <w:color w:val="auto"/>
        </w:rPr>
        <w:t>100%</w:t>
      </w:r>
    </w:p>
    <w:p w14:paraId="7F904B83">
      <w:pPr>
        <w:pStyle w:val="14"/>
        <w:spacing w:line="240" w:lineRule="auto"/>
        <w:ind w:firstLine="480"/>
        <w:rPr>
          <w:color w:val="auto"/>
        </w:rPr>
      </w:pPr>
      <w:r>
        <w:rPr>
          <w:color w:val="auto"/>
        </w:rPr>
        <w:t>林草植被恢复率（%）=</w:t>
      </w:r>
      <w:r>
        <w:rPr>
          <w:color w:val="auto"/>
        </w:rPr>
        <w:fldChar w:fldCharType="begin"/>
      </w:r>
      <w:r>
        <w:rPr>
          <w:color w:val="auto"/>
        </w:rPr>
        <w:instrText xml:space="preserve"> EQ \F(林草植被面积,可恢复林草植被总面积) </w:instrText>
      </w:r>
      <w:r>
        <w:rPr>
          <w:color w:val="auto"/>
        </w:rPr>
        <w:fldChar w:fldCharType="end"/>
      </w:r>
      <w:r>
        <w:rPr>
          <w:color w:val="auto"/>
        </w:rPr>
        <w:t>×100%</w:t>
      </w:r>
    </w:p>
    <w:p w14:paraId="1A0052FA">
      <w:pPr>
        <w:spacing w:line="240" w:lineRule="auto"/>
        <w:ind w:firstLine="480"/>
        <w:rPr>
          <w:color w:val="auto"/>
        </w:rPr>
      </w:pPr>
      <w:r>
        <w:rPr>
          <w:color w:val="auto"/>
        </w:rPr>
        <w:t>林草覆盖率（%）=</w:t>
      </w:r>
      <w:r>
        <w:rPr>
          <w:color w:val="auto"/>
        </w:rPr>
        <w:fldChar w:fldCharType="begin"/>
      </w:r>
      <w:r>
        <w:rPr>
          <w:color w:val="auto"/>
        </w:rPr>
        <w:instrText xml:space="preserve"> EQ \F(林草植被总面积,项目建设区总面积) </w:instrText>
      </w:r>
      <w:r>
        <w:rPr>
          <w:color w:val="auto"/>
        </w:rPr>
        <w:fldChar w:fldCharType="end"/>
      </w:r>
      <w:r>
        <w:rPr>
          <w:color w:val="auto"/>
        </w:rPr>
        <w:t>×100%</w:t>
      </w:r>
    </w:p>
    <w:p w14:paraId="60BB8C16">
      <w:pPr>
        <w:pStyle w:val="35"/>
        <w:bidi w:val="0"/>
        <w:rPr>
          <w:color w:val="0000FF"/>
          <w:highlight w:val="yellow"/>
        </w:rPr>
      </w:pPr>
      <w:bookmarkStart w:id="176" w:name="_Toc1697"/>
      <w:bookmarkStart w:id="177" w:name="_Toc17628"/>
      <w:bookmarkStart w:id="178" w:name="_Toc24742_WPSOffice_Level2"/>
    </w:p>
    <w:p w14:paraId="6C96B403">
      <w:pPr>
        <w:pStyle w:val="35"/>
        <w:bidi w:val="0"/>
        <w:rPr>
          <w:color w:val="auto"/>
          <w:highlight w:val="none"/>
        </w:rPr>
      </w:pPr>
      <w:r>
        <w:rPr>
          <w:color w:val="auto"/>
          <w:highlight w:val="none"/>
        </w:rPr>
        <w:t>表7.2-1设计水平年工程建设和水土保持各项指标值表</w:t>
      </w:r>
    </w:p>
    <w:tbl>
      <w:tblPr>
        <w:tblStyle w:val="25"/>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856"/>
        <w:gridCol w:w="1857"/>
        <w:gridCol w:w="1857"/>
        <w:gridCol w:w="1857"/>
        <w:gridCol w:w="1857"/>
      </w:tblGrid>
      <w:tr w14:paraId="770D19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00" w:type="pct"/>
            <w:tcBorders>
              <w:top w:val="single" w:color="000000" w:sz="8" w:space="0"/>
              <w:left w:val="single" w:color="000000" w:sz="8" w:space="0"/>
              <w:bottom w:val="single" w:color="000000" w:sz="8" w:space="0"/>
              <w:right w:val="single" w:color="000000" w:sz="8" w:space="0"/>
            </w:tcBorders>
            <w:shd w:val="clear" w:color="auto" w:fill="auto"/>
            <w:vAlign w:val="top"/>
          </w:tcPr>
          <w:p w14:paraId="37372762">
            <w:pPr>
              <w:pStyle w:val="34"/>
              <w:bidi w:val="0"/>
            </w:pPr>
            <w:r>
              <w:rPr>
                <w:rFonts w:hint="eastAsia"/>
                <w:lang w:val="en-US" w:eastAsia="zh-CN"/>
              </w:rPr>
              <w:t>指标</w:t>
            </w:r>
          </w:p>
        </w:tc>
        <w:tc>
          <w:tcPr>
            <w:tcW w:w="1000" w:type="pct"/>
            <w:tcBorders>
              <w:top w:val="single" w:color="000000" w:sz="8" w:space="0"/>
              <w:left w:val="single" w:color="000000" w:sz="8" w:space="0"/>
              <w:bottom w:val="single" w:color="000000" w:sz="8" w:space="0"/>
              <w:right w:val="single" w:color="000000" w:sz="8" w:space="0"/>
            </w:tcBorders>
            <w:shd w:val="clear" w:color="auto" w:fill="auto"/>
            <w:vAlign w:val="top"/>
          </w:tcPr>
          <w:p w14:paraId="4166B9B1">
            <w:pPr>
              <w:pStyle w:val="34"/>
              <w:bidi w:val="0"/>
              <w:rPr>
                <w:rFonts w:hint="eastAsia"/>
              </w:rPr>
            </w:pPr>
            <w:r>
              <w:rPr>
                <w:rFonts w:hint="eastAsia"/>
                <w:lang w:val="en-US" w:eastAsia="zh-CN"/>
              </w:rPr>
              <w:t>数量</w:t>
            </w:r>
          </w:p>
        </w:tc>
        <w:tc>
          <w:tcPr>
            <w:tcW w:w="1000" w:type="pct"/>
            <w:tcBorders>
              <w:top w:val="single" w:color="000000" w:sz="8" w:space="0"/>
              <w:left w:val="single" w:color="000000" w:sz="8" w:space="0"/>
              <w:bottom w:val="single" w:color="000000" w:sz="8" w:space="0"/>
              <w:right w:val="single" w:color="000000" w:sz="8" w:space="0"/>
            </w:tcBorders>
            <w:shd w:val="clear" w:color="auto" w:fill="auto"/>
            <w:vAlign w:val="top"/>
          </w:tcPr>
          <w:p w14:paraId="6F9ACE8E">
            <w:pPr>
              <w:pStyle w:val="34"/>
              <w:bidi w:val="0"/>
              <w:rPr>
                <w:rFonts w:hint="eastAsia"/>
              </w:rPr>
            </w:pPr>
            <w:r>
              <w:rPr>
                <w:rFonts w:hint="eastAsia"/>
                <w:lang w:val="en-US" w:eastAsia="zh-CN"/>
              </w:rPr>
              <w:t>效益值</w:t>
            </w:r>
          </w:p>
        </w:tc>
        <w:tc>
          <w:tcPr>
            <w:tcW w:w="1000" w:type="pct"/>
            <w:tcBorders>
              <w:top w:val="single" w:color="000000" w:sz="8" w:space="0"/>
              <w:left w:val="single" w:color="000000" w:sz="8" w:space="0"/>
              <w:bottom w:val="single" w:color="000000" w:sz="8" w:space="0"/>
              <w:right w:val="single" w:color="000000" w:sz="8" w:space="0"/>
            </w:tcBorders>
            <w:shd w:val="clear" w:color="auto" w:fill="auto"/>
            <w:vAlign w:val="top"/>
          </w:tcPr>
          <w:p w14:paraId="231D1EF9">
            <w:pPr>
              <w:pStyle w:val="34"/>
              <w:bidi w:val="0"/>
              <w:rPr>
                <w:rFonts w:hint="eastAsia"/>
              </w:rPr>
            </w:pPr>
            <w:r>
              <w:rPr>
                <w:rFonts w:hint="eastAsia"/>
                <w:lang w:val="en-US" w:eastAsia="zh-CN"/>
              </w:rPr>
              <w:t>目标值</w:t>
            </w:r>
          </w:p>
        </w:tc>
        <w:tc>
          <w:tcPr>
            <w:tcW w:w="1000" w:type="pct"/>
            <w:tcBorders>
              <w:top w:val="single" w:color="000000" w:sz="8" w:space="0"/>
              <w:left w:val="single" w:color="000000" w:sz="8" w:space="0"/>
              <w:bottom w:val="single" w:color="000000" w:sz="8" w:space="0"/>
              <w:right w:val="single" w:color="000000" w:sz="8" w:space="0"/>
            </w:tcBorders>
            <w:shd w:val="clear" w:color="auto" w:fill="auto"/>
            <w:vAlign w:val="top"/>
          </w:tcPr>
          <w:p w14:paraId="3C73B5CD">
            <w:pPr>
              <w:pStyle w:val="34"/>
              <w:bidi w:val="0"/>
              <w:rPr>
                <w:rFonts w:hint="eastAsia"/>
              </w:rPr>
            </w:pPr>
            <w:r>
              <w:rPr>
                <w:rFonts w:hint="eastAsia"/>
                <w:lang w:val="en-US" w:eastAsia="zh-CN"/>
              </w:rPr>
              <w:t>评价</w:t>
            </w:r>
          </w:p>
        </w:tc>
      </w:tr>
      <w:tr w14:paraId="1FCD4D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0C3715B7">
            <w:pPr>
              <w:pStyle w:val="34"/>
              <w:bidi w:val="0"/>
              <w:rPr>
                <w:rFonts w:hint="eastAsia"/>
              </w:rPr>
            </w:pPr>
            <w:r>
              <w:rPr>
                <w:rFonts w:hint="eastAsia"/>
                <w:lang w:val="en-US" w:eastAsia="zh-CN"/>
              </w:rPr>
              <w:t>水土流失治理度（</w:t>
            </w:r>
            <w:r>
              <w:rPr>
                <w:rFonts w:hint="default"/>
                <w:lang w:val="en-US" w:eastAsia="zh-CN"/>
              </w:rPr>
              <w:t>%</w:t>
            </w:r>
            <w:r>
              <w:rPr>
                <w:rFonts w:hint="eastAsia"/>
                <w:lang w:val="en-US" w:eastAsia="zh-CN"/>
              </w:rPr>
              <w:t>）</w:t>
            </w:r>
          </w:p>
        </w:tc>
        <w:tc>
          <w:tcPr>
            <w:tcW w:w="1000" w:type="pct"/>
            <w:tcBorders>
              <w:top w:val="nil"/>
              <w:left w:val="single" w:color="000000" w:sz="8" w:space="0"/>
              <w:bottom w:val="single" w:color="000000" w:sz="8" w:space="0"/>
              <w:right w:val="single" w:color="000000" w:sz="8" w:space="0"/>
            </w:tcBorders>
            <w:shd w:val="clear" w:color="auto" w:fill="auto"/>
            <w:vAlign w:val="top"/>
          </w:tcPr>
          <w:p w14:paraId="726854C1">
            <w:pPr>
              <w:pStyle w:val="34"/>
              <w:bidi w:val="0"/>
              <w:rPr>
                <w:rFonts w:hint="default"/>
              </w:rPr>
            </w:pPr>
            <w:r>
              <w:rPr>
                <w:rFonts w:hint="default"/>
                <w:lang w:val="en-US" w:eastAsia="zh-CN"/>
              </w:rPr>
              <w:t>3.64</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520BBBE4">
            <w:pPr>
              <w:pStyle w:val="34"/>
              <w:bidi w:val="0"/>
              <w:rPr>
                <w:rFonts w:hint="default"/>
              </w:rPr>
            </w:pPr>
            <w:r>
              <w:rPr>
                <w:rFonts w:hint="default"/>
                <w:lang w:val="en-US" w:eastAsia="zh-CN"/>
              </w:rPr>
              <w:t xml:space="preserve">99.45 </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34072F11">
            <w:pPr>
              <w:pStyle w:val="34"/>
              <w:bidi w:val="0"/>
              <w:rPr>
                <w:rFonts w:hint="default"/>
              </w:rPr>
            </w:pPr>
            <w:r>
              <w:rPr>
                <w:rFonts w:hint="default"/>
                <w:lang w:val="en-US" w:eastAsia="zh-CN"/>
              </w:rPr>
              <w:t>97</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0B7C7449">
            <w:pPr>
              <w:pStyle w:val="34"/>
              <w:bidi w:val="0"/>
              <w:rPr>
                <w:rFonts w:hint="eastAsia"/>
              </w:rPr>
            </w:pPr>
            <w:r>
              <w:rPr>
                <w:rFonts w:hint="eastAsia"/>
                <w:lang w:val="en-US" w:eastAsia="zh-CN"/>
              </w:rPr>
              <w:t>达标</w:t>
            </w:r>
          </w:p>
        </w:tc>
      </w:tr>
      <w:tr w14:paraId="21EA0B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66975E12">
            <w:pPr>
              <w:pStyle w:val="34"/>
              <w:bidi w:val="0"/>
              <w:rPr>
                <w:rFonts w:hint="eastAsia"/>
              </w:rPr>
            </w:pPr>
          </w:p>
        </w:tc>
        <w:tc>
          <w:tcPr>
            <w:tcW w:w="1000" w:type="pct"/>
            <w:tcBorders>
              <w:top w:val="nil"/>
              <w:left w:val="single" w:color="000000" w:sz="8" w:space="0"/>
              <w:bottom w:val="single" w:color="000000" w:sz="8" w:space="0"/>
              <w:right w:val="single" w:color="000000" w:sz="8" w:space="0"/>
            </w:tcBorders>
            <w:shd w:val="clear" w:color="auto" w:fill="auto"/>
            <w:vAlign w:val="top"/>
          </w:tcPr>
          <w:p w14:paraId="7AE2E31D">
            <w:pPr>
              <w:pStyle w:val="34"/>
              <w:bidi w:val="0"/>
              <w:rPr>
                <w:rFonts w:hint="default"/>
              </w:rPr>
            </w:pPr>
            <w:r>
              <w:rPr>
                <w:rFonts w:hint="default"/>
                <w:lang w:val="en-US" w:eastAsia="zh-CN"/>
              </w:rPr>
              <w:t>3.66</w:t>
            </w: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3334DD7E">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10A6C00B">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338264FE">
            <w:pPr>
              <w:pStyle w:val="34"/>
              <w:bidi w:val="0"/>
              <w:rPr>
                <w:rFonts w:hint="eastAsia"/>
              </w:rPr>
            </w:pPr>
          </w:p>
        </w:tc>
      </w:tr>
      <w:tr w14:paraId="2A1E7F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7017E649">
            <w:pPr>
              <w:pStyle w:val="34"/>
              <w:bidi w:val="0"/>
              <w:rPr>
                <w:rFonts w:hint="eastAsia"/>
              </w:rPr>
            </w:pPr>
            <w:r>
              <w:rPr>
                <w:rFonts w:hint="eastAsia"/>
                <w:lang w:val="en-US" w:eastAsia="zh-CN"/>
              </w:rPr>
              <w:t>土壤流失控制比</w:t>
            </w:r>
          </w:p>
        </w:tc>
        <w:tc>
          <w:tcPr>
            <w:tcW w:w="1000" w:type="pct"/>
            <w:tcBorders>
              <w:top w:val="nil"/>
              <w:left w:val="single" w:color="000000" w:sz="8" w:space="0"/>
              <w:bottom w:val="single" w:color="000000" w:sz="8" w:space="0"/>
              <w:right w:val="single" w:color="000000" w:sz="8" w:space="0"/>
            </w:tcBorders>
            <w:shd w:val="clear" w:color="auto" w:fill="auto"/>
            <w:vAlign w:val="top"/>
          </w:tcPr>
          <w:p w14:paraId="0189F857">
            <w:pPr>
              <w:pStyle w:val="34"/>
              <w:bidi w:val="0"/>
              <w:rPr>
                <w:rFonts w:hint="default"/>
              </w:rPr>
            </w:pPr>
            <w:r>
              <w:rPr>
                <w:rFonts w:hint="default"/>
                <w:lang w:val="en-US" w:eastAsia="zh-CN"/>
              </w:rPr>
              <w:t>500</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755F3BBC">
            <w:pPr>
              <w:pStyle w:val="34"/>
              <w:bidi w:val="0"/>
              <w:rPr>
                <w:rFonts w:hint="default"/>
              </w:rPr>
            </w:pPr>
            <w:r>
              <w:rPr>
                <w:rFonts w:hint="default"/>
                <w:lang w:val="en-US" w:eastAsia="zh-CN"/>
              </w:rPr>
              <w:t xml:space="preserve">1.67 </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2A3A852C">
            <w:pPr>
              <w:pStyle w:val="34"/>
              <w:bidi w:val="0"/>
              <w:rPr>
                <w:rFonts w:hint="default"/>
              </w:rPr>
            </w:pPr>
            <w:r>
              <w:rPr>
                <w:rFonts w:hint="default"/>
                <w:lang w:val="en-US" w:eastAsia="zh-CN"/>
              </w:rPr>
              <w:t>1</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05DCBA9B">
            <w:pPr>
              <w:pStyle w:val="34"/>
              <w:bidi w:val="0"/>
              <w:rPr>
                <w:rFonts w:hint="eastAsia"/>
              </w:rPr>
            </w:pPr>
            <w:r>
              <w:rPr>
                <w:rFonts w:hint="eastAsia"/>
                <w:lang w:val="en-US" w:eastAsia="zh-CN"/>
              </w:rPr>
              <w:t>达标</w:t>
            </w:r>
          </w:p>
        </w:tc>
      </w:tr>
      <w:tr w14:paraId="0DC46B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0B6A4C4A">
            <w:pPr>
              <w:pStyle w:val="34"/>
              <w:bidi w:val="0"/>
              <w:rPr>
                <w:rFonts w:hint="eastAsia"/>
              </w:rPr>
            </w:pPr>
          </w:p>
        </w:tc>
        <w:tc>
          <w:tcPr>
            <w:tcW w:w="1000" w:type="pct"/>
            <w:tcBorders>
              <w:top w:val="nil"/>
              <w:left w:val="single" w:color="000000" w:sz="8" w:space="0"/>
              <w:bottom w:val="single" w:color="000000" w:sz="8" w:space="0"/>
              <w:right w:val="single" w:color="000000" w:sz="8" w:space="0"/>
            </w:tcBorders>
            <w:shd w:val="clear" w:color="auto" w:fill="auto"/>
            <w:vAlign w:val="top"/>
          </w:tcPr>
          <w:p w14:paraId="3574CB79">
            <w:pPr>
              <w:pStyle w:val="34"/>
              <w:bidi w:val="0"/>
              <w:rPr>
                <w:rFonts w:hint="default"/>
              </w:rPr>
            </w:pPr>
            <w:r>
              <w:rPr>
                <w:rFonts w:hint="default"/>
                <w:lang w:val="en-US" w:eastAsia="zh-CN"/>
              </w:rPr>
              <w:t>300</w:t>
            </w: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36BD0EC1">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54C92700">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46398D8A">
            <w:pPr>
              <w:pStyle w:val="34"/>
              <w:bidi w:val="0"/>
              <w:rPr>
                <w:rFonts w:hint="eastAsia"/>
              </w:rPr>
            </w:pPr>
          </w:p>
        </w:tc>
      </w:tr>
      <w:tr w14:paraId="47F251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4ECA6FA7">
            <w:pPr>
              <w:pStyle w:val="34"/>
              <w:bidi w:val="0"/>
              <w:rPr>
                <w:rFonts w:hint="eastAsia"/>
              </w:rPr>
            </w:pPr>
            <w:r>
              <w:rPr>
                <w:rFonts w:hint="eastAsia"/>
                <w:lang w:val="en-US" w:eastAsia="zh-CN"/>
              </w:rPr>
              <w:t>渣土防护率（</w:t>
            </w:r>
            <w:r>
              <w:rPr>
                <w:rFonts w:hint="default"/>
                <w:lang w:val="en-US" w:eastAsia="zh-CN"/>
              </w:rPr>
              <w:t>%</w:t>
            </w:r>
            <w:r>
              <w:rPr>
                <w:rFonts w:hint="eastAsia"/>
                <w:lang w:val="en-US" w:eastAsia="zh-CN"/>
              </w:rPr>
              <w:t>）</w:t>
            </w:r>
          </w:p>
        </w:tc>
        <w:tc>
          <w:tcPr>
            <w:tcW w:w="1000" w:type="pct"/>
            <w:tcBorders>
              <w:top w:val="nil"/>
              <w:left w:val="single" w:color="000000" w:sz="8" w:space="0"/>
              <w:bottom w:val="single" w:color="000000" w:sz="8" w:space="0"/>
              <w:right w:val="single" w:color="000000" w:sz="8" w:space="0"/>
            </w:tcBorders>
            <w:shd w:val="clear" w:color="auto" w:fill="auto"/>
            <w:vAlign w:val="top"/>
          </w:tcPr>
          <w:p w14:paraId="788B0580">
            <w:pPr>
              <w:pStyle w:val="34"/>
              <w:bidi w:val="0"/>
              <w:rPr>
                <w:rFonts w:hint="default"/>
              </w:rPr>
            </w:pPr>
            <w:r>
              <w:rPr>
                <w:rFonts w:hint="default"/>
                <w:lang w:val="en-US" w:eastAsia="zh-CN"/>
              </w:rPr>
              <w:t xml:space="preserve">1.30 </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48E8F5AA">
            <w:pPr>
              <w:pStyle w:val="34"/>
              <w:bidi w:val="0"/>
              <w:rPr>
                <w:rFonts w:hint="default"/>
              </w:rPr>
            </w:pPr>
            <w:r>
              <w:rPr>
                <w:rFonts w:hint="default"/>
                <w:lang w:val="en-US" w:eastAsia="zh-CN"/>
              </w:rPr>
              <w:t xml:space="preserve">98.48 </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031942D4">
            <w:pPr>
              <w:pStyle w:val="34"/>
              <w:bidi w:val="0"/>
              <w:rPr>
                <w:rFonts w:hint="default"/>
              </w:rPr>
            </w:pPr>
            <w:r>
              <w:rPr>
                <w:rFonts w:hint="default"/>
                <w:lang w:val="en-US" w:eastAsia="zh-CN"/>
              </w:rPr>
              <w:t>94</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0D17DA45">
            <w:pPr>
              <w:pStyle w:val="34"/>
              <w:bidi w:val="0"/>
              <w:rPr>
                <w:rFonts w:hint="eastAsia"/>
              </w:rPr>
            </w:pPr>
            <w:r>
              <w:rPr>
                <w:rFonts w:hint="eastAsia"/>
                <w:lang w:val="en-US" w:eastAsia="zh-CN"/>
              </w:rPr>
              <w:t>达标</w:t>
            </w:r>
          </w:p>
        </w:tc>
      </w:tr>
      <w:tr w14:paraId="1F8119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2D88FF23">
            <w:pPr>
              <w:pStyle w:val="34"/>
              <w:bidi w:val="0"/>
              <w:rPr>
                <w:rFonts w:hint="eastAsia"/>
              </w:rPr>
            </w:pPr>
          </w:p>
        </w:tc>
        <w:tc>
          <w:tcPr>
            <w:tcW w:w="1000" w:type="pct"/>
            <w:tcBorders>
              <w:top w:val="nil"/>
              <w:left w:val="single" w:color="000000" w:sz="8" w:space="0"/>
              <w:bottom w:val="single" w:color="000000" w:sz="8" w:space="0"/>
              <w:right w:val="single" w:color="000000" w:sz="8" w:space="0"/>
            </w:tcBorders>
            <w:shd w:val="clear" w:color="auto" w:fill="auto"/>
            <w:vAlign w:val="top"/>
          </w:tcPr>
          <w:p w14:paraId="68F227EC">
            <w:pPr>
              <w:pStyle w:val="34"/>
              <w:bidi w:val="0"/>
              <w:rPr>
                <w:rFonts w:hint="default"/>
              </w:rPr>
            </w:pPr>
            <w:r>
              <w:rPr>
                <w:rFonts w:hint="default"/>
                <w:lang w:val="en-US" w:eastAsia="zh-CN"/>
              </w:rPr>
              <w:t xml:space="preserve">1.32 </w:t>
            </w: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0237F74F">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06A66EFD">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4DCA6AD1">
            <w:pPr>
              <w:pStyle w:val="34"/>
              <w:bidi w:val="0"/>
              <w:rPr>
                <w:rFonts w:hint="eastAsia"/>
              </w:rPr>
            </w:pPr>
          </w:p>
        </w:tc>
      </w:tr>
      <w:tr w14:paraId="1EAC79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601D0C3B">
            <w:pPr>
              <w:pStyle w:val="34"/>
              <w:bidi w:val="0"/>
              <w:rPr>
                <w:rFonts w:hint="eastAsia"/>
              </w:rPr>
            </w:pPr>
            <w:r>
              <w:rPr>
                <w:rFonts w:hint="eastAsia"/>
                <w:lang w:val="en-US" w:eastAsia="zh-CN"/>
              </w:rPr>
              <w:t>表土保护率（</w:t>
            </w:r>
            <w:r>
              <w:rPr>
                <w:rFonts w:hint="default"/>
                <w:lang w:val="en-US" w:eastAsia="zh-CN"/>
              </w:rPr>
              <w:t>%</w:t>
            </w:r>
            <w:r>
              <w:rPr>
                <w:rFonts w:hint="eastAsia"/>
                <w:lang w:val="en-US" w:eastAsia="zh-CN"/>
              </w:rPr>
              <w:t>）</w:t>
            </w:r>
          </w:p>
        </w:tc>
        <w:tc>
          <w:tcPr>
            <w:tcW w:w="1000" w:type="pct"/>
            <w:tcBorders>
              <w:top w:val="nil"/>
              <w:left w:val="single" w:color="000000" w:sz="8" w:space="0"/>
              <w:bottom w:val="single" w:color="000000" w:sz="8" w:space="0"/>
              <w:right w:val="single" w:color="000000" w:sz="8" w:space="0"/>
            </w:tcBorders>
            <w:shd w:val="clear" w:color="auto" w:fill="auto"/>
            <w:vAlign w:val="top"/>
          </w:tcPr>
          <w:p w14:paraId="7BA0A668">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61178853">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788123E5">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29FD4710">
            <w:pPr>
              <w:pStyle w:val="34"/>
              <w:bidi w:val="0"/>
              <w:rPr>
                <w:rFonts w:hint="eastAsia"/>
              </w:rPr>
            </w:pPr>
            <w:r>
              <w:rPr>
                <w:rFonts w:hint="eastAsia"/>
                <w:lang w:val="en-US" w:eastAsia="zh-CN"/>
              </w:rPr>
              <w:t>不计列</w:t>
            </w:r>
          </w:p>
        </w:tc>
      </w:tr>
      <w:tr w14:paraId="0E1F1C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73BDAE55">
            <w:pPr>
              <w:pStyle w:val="34"/>
              <w:bidi w:val="0"/>
              <w:rPr>
                <w:rFonts w:hint="eastAsia"/>
              </w:rPr>
            </w:pPr>
          </w:p>
        </w:tc>
        <w:tc>
          <w:tcPr>
            <w:tcW w:w="1000" w:type="pct"/>
            <w:tcBorders>
              <w:top w:val="nil"/>
              <w:left w:val="single" w:color="000000" w:sz="8" w:space="0"/>
              <w:bottom w:val="single" w:color="000000" w:sz="8" w:space="0"/>
              <w:right w:val="single" w:color="000000" w:sz="8" w:space="0"/>
            </w:tcBorders>
            <w:shd w:val="clear" w:color="auto" w:fill="auto"/>
            <w:vAlign w:val="top"/>
          </w:tcPr>
          <w:p w14:paraId="09C44963">
            <w:pPr>
              <w:pStyle w:val="34"/>
              <w:bidi w:val="0"/>
              <w:rPr>
                <w:rFonts w:hint="default"/>
              </w:rPr>
            </w:pPr>
            <w:r>
              <w:rPr>
                <w:rFonts w:hint="default"/>
                <w:lang w:val="en-US" w:eastAsia="zh-CN"/>
              </w:rPr>
              <w:t>/</w:t>
            </w: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39051F7F">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6F080254">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0D220CE3">
            <w:pPr>
              <w:pStyle w:val="34"/>
              <w:bidi w:val="0"/>
              <w:rPr>
                <w:rFonts w:hint="eastAsia"/>
              </w:rPr>
            </w:pPr>
          </w:p>
        </w:tc>
      </w:tr>
      <w:tr w14:paraId="61D216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6C13D691">
            <w:pPr>
              <w:pStyle w:val="34"/>
              <w:bidi w:val="0"/>
              <w:rPr>
                <w:rFonts w:hint="eastAsia"/>
              </w:rPr>
            </w:pPr>
            <w:r>
              <w:rPr>
                <w:rFonts w:hint="eastAsia"/>
                <w:lang w:val="en-US" w:eastAsia="zh-CN"/>
              </w:rPr>
              <w:t>林草植被恢复率（</w:t>
            </w:r>
            <w:r>
              <w:rPr>
                <w:rFonts w:hint="default"/>
                <w:lang w:val="en-US" w:eastAsia="zh-CN"/>
              </w:rPr>
              <w:t>%</w:t>
            </w:r>
            <w:r>
              <w:rPr>
                <w:rFonts w:hint="eastAsia"/>
                <w:lang w:val="en-US" w:eastAsia="zh-CN"/>
              </w:rPr>
              <w:t>）</w:t>
            </w:r>
          </w:p>
        </w:tc>
        <w:tc>
          <w:tcPr>
            <w:tcW w:w="1000" w:type="pct"/>
            <w:tcBorders>
              <w:top w:val="nil"/>
              <w:left w:val="single" w:color="000000" w:sz="8" w:space="0"/>
              <w:bottom w:val="single" w:color="000000" w:sz="8" w:space="0"/>
              <w:right w:val="single" w:color="000000" w:sz="8" w:space="0"/>
            </w:tcBorders>
            <w:shd w:val="clear" w:color="auto" w:fill="auto"/>
            <w:vAlign w:val="top"/>
          </w:tcPr>
          <w:p w14:paraId="1E0D1491">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2408641D">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6CB42498">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48471F7D">
            <w:pPr>
              <w:pStyle w:val="34"/>
              <w:bidi w:val="0"/>
              <w:rPr>
                <w:rFonts w:hint="eastAsia"/>
              </w:rPr>
            </w:pPr>
            <w:r>
              <w:rPr>
                <w:rFonts w:hint="eastAsia"/>
                <w:lang w:val="en-US" w:eastAsia="zh-CN"/>
              </w:rPr>
              <w:t>不计列</w:t>
            </w:r>
          </w:p>
        </w:tc>
      </w:tr>
      <w:tr w14:paraId="05985E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35B384EF">
            <w:pPr>
              <w:pStyle w:val="34"/>
              <w:bidi w:val="0"/>
              <w:rPr>
                <w:rFonts w:hint="eastAsia"/>
              </w:rPr>
            </w:pPr>
          </w:p>
        </w:tc>
        <w:tc>
          <w:tcPr>
            <w:tcW w:w="1000" w:type="pct"/>
            <w:tcBorders>
              <w:top w:val="nil"/>
              <w:left w:val="single" w:color="000000" w:sz="8" w:space="0"/>
              <w:bottom w:val="single" w:color="000000" w:sz="8" w:space="0"/>
              <w:right w:val="single" w:color="000000" w:sz="8" w:space="0"/>
            </w:tcBorders>
            <w:shd w:val="clear" w:color="auto" w:fill="auto"/>
            <w:vAlign w:val="top"/>
          </w:tcPr>
          <w:p w14:paraId="7980597A">
            <w:pPr>
              <w:pStyle w:val="34"/>
              <w:bidi w:val="0"/>
              <w:rPr>
                <w:rFonts w:hint="default"/>
              </w:rPr>
            </w:pPr>
            <w:r>
              <w:rPr>
                <w:rFonts w:hint="default"/>
                <w:lang w:val="en-US" w:eastAsia="zh-CN"/>
              </w:rPr>
              <w:t>/</w:t>
            </w: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662C5C37">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740F4C9E">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55D28C54">
            <w:pPr>
              <w:pStyle w:val="34"/>
              <w:bidi w:val="0"/>
              <w:rPr>
                <w:rFonts w:hint="eastAsia"/>
              </w:rPr>
            </w:pPr>
          </w:p>
        </w:tc>
      </w:tr>
      <w:tr w14:paraId="77828C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1CAAB6CC">
            <w:pPr>
              <w:pStyle w:val="34"/>
              <w:bidi w:val="0"/>
              <w:rPr>
                <w:rFonts w:hint="eastAsia"/>
              </w:rPr>
            </w:pPr>
            <w:r>
              <w:rPr>
                <w:rFonts w:hint="eastAsia"/>
                <w:lang w:val="en-US" w:eastAsia="zh-CN"/>
              </w:rPr>
              <w:t>林草覆盖率（</w:t>
            </w:r>
            <w:r>
              <w:rPr>
                <w:rFonts w:hint="default"/>
                <w:lang w:val="en-US" w:eastAsia="zh-CN"/>
              </w:rPr>
              <w:t>%</w:t>
            </w:r>
            <w:r>
              <w:rPr>
                <w:rFonts w:hint="eastAsia"/>
                <w:lang w:val="en-US" w:eastAsia="zh-CN"/>
              </w:rPr>
              <w:t>）</w:t>
            </w:r>
          </w:p>
        </w:tc>
        <w:tc>
          <w:tcPr>
            <w:tcW w:w="1000" w:type="pct"/>
            <w:tcBorders>
              <w:top w:val="nil"/>
              <w:left w:val="single" w:color="000000" w:sz="8" w:space="0"/>
              <w:bottom w:val="single" w:color="000000" w:sz="8" w:space="0"/>
              <w:right w:val="single" w:color="000000" w:sz="8" w:space="0"/>
            </w:tcBorders>
            <w:shd w:val="clear" w:color="auto" w:fill="auto"/>
            <w:vAlign w:val="top"/>
          </w:tcPr>
          <w:p w14:paraId="2380B824">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46CA2993">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54A9023A">
            <w:pPr>
              <w:pStyle w:val="34"/>
              <w:bidi w:val="0"/>
              <w:rPr>
                <w:rFonts w:hint="default"/>
              </w:rPr>
            </w:pPr>
            <w:r>
              <w:rPr>
                <w:rFonts w:hint="default"/>
                <w:lang w:val="en-US" w:eastAsia="zh-CN"/>
              </w:rPr>
              <w:t>/</w:t>
            </w:r>
          </w:p>
        </w:tc>
        <w:tc>
          <w:tcPr>
            <w:tcW w:w="1000" w:type="pct"/>
            <w:vMerge w:val="restart"/>
            <w:tcBorders>
              <w:top w:val="nil"/>
              <w:left w:val="single" w:color="000000" w:sz="8" w:space="0"/>
              <w:bottom w:val="single" w:color="000000" w:sz="8" w:space="0"/>
              <w:right w:val="single" w:color="000000" w:sz="8" w:space="0"/>
            </w:tcBorders>
            <w:shd w:val="clear" w:color="auto" w:fill="auto"/>
            <w:vAlign w:val="center"/>
          </w:tcPr>
          <w:p w14:paraId="7F5911BA">
            <w:pPr>
              <w:pStyle w:val="34"/>
              <w:bidi w:val="0"/>
              <w:rPr>
                <w:rFonts w:hint="eastAsia"/>
              </w:rPr>
            </w:pPr>
            <w:r>
              <w:rPr>
                <w:rFonts w:hint="eastAsia"/>
                <w:lang w:val="en-US" w:eastAsia="zh-CN"/>
              </w:rPr>
              <w:t>不计列</w:t>
            </w:r>
          </w:p>
        </w:tc>
      </w:tr>
      <w:tr w14:paraId="1C37B8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63E6113D">
            <w:pPr>
              <w:pStyle w:val="34"/>
              <w:bidi w:val="0"/>
              <w:rPr>
                <w:rFonts w:hint="eastAsia"/>
              </w:rPr>
            </w:pPr>
          </w:p>
        </w:tc>
        <w:tc>
          <w:tcPr>
            <w:tcW w:w="1000" w:type="pct"/>
            <w:tcBorders>
              <w:top w:val="nil"/>
              <w:left w:val="single" w:color="000000" w:sz="8" w:space="0"/>
              <w:bottom w:val="single" w:color="000000" w:sz="8" w:space="0"/>
              <w:right w:val="single" w:color="000000" w:sz="8" w:space="0"/>
            </w:tcBorders>
            <w:shd w:val="clear" w:color="auto" w:fill="auto"/>
            <w:vAlign w:val="top"/>
          </w:tcPr>
          <w:p w14:paraId="22EA923D">
            <w:pPr>
              <w:pStyle w:val="34"/>
              <w:bidi w:val="0"/>
              <w:rPr>
                <w:rFonts w:hint="default"/>
              </w:rPr>
            </w:pPr>
            <w:r>
              <w:rPr>
                <w:rFonts w:hint="default"/>
                <w:lang w:val="en-US" w:eastAsia="zh-CN"/>
              </w:rPr>
              <w:t>/</w:t>
            </w: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7535BD36">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4DB2AD4A">
            <w:pPr>
              <w:pStyle w:val="34"/>
              <w:bidi w:val="0"/>
              <w:rPr>
                <w:rFonts w:hint="default"/>
              </w:rPr>
            </w:pPr>
          </w:p>
        </w:tc>
        <w:tc>
          <w:tcPr>
            <w:tcW w:w="1000" w:type="pct"/>
            <w:vMerge w:val="continue"/>
            <w:tcBorders>
              <w:top w:val="nil"/>
              <w:left w:val="single" w:color="000000" w:sz="8" w:space="0"/>
              <w:bottom w:val="single" w:color="000000" w:sz="8" w:space="0"/>
              <w:right w:val="single" w:color="000000" w:sz="8" w:space="0"/>
            </w:tcBorders>
            <w:shd w:val="clear" w:color="auto" w:fill="auto"/>
            <w:vAlign w:val="center"/>
          </w:tcPr>
          <w:p w14:paraId="2214F8C7">
            <w:pPr>
              <w:pStyle w:val="34"/>
              <w:bidi w:val="0"/>
              <w:rPr>
                <w:rFonts w:hint="eastAsia"/>
              </w:rPr>
            </w:pPr>
          </w:p>
        </w:tc>
      </w:tr>
    </w:tbl>
    <w:p w14:paraId="79076736">
      <w:pPr>
        <w:ind w:firstLine="480"/>
        <w:rPr>
          <w:rFonts w:hint="eastAsia" w:eastAsia="仿宋_GB2312"/>
          <w:color w:val="auto"/>
          <w:lang w:eastAsia="zh-CN"/>
        </w:rPr>
      </w:pPr>
      <w:r>
        <w:rPr>
          <w:rFonts w:hint="eastAsia"/>
          <w:color w:val="auto"/>
          <w:lang w:eastAsia="zh-CN"/>
        </w:rPr>
        <w:t>通过实施</w:t>
      </w:r>
      <w:r>
        <w:rPr>
          <w:rFonts w:hint="eastAsia"/>
          <w:color w:val="auto"/>
          <w:lang w:val="en-US" w:eastAsia="zh-CN"/>
        </w:rPr>
        <w:t>方案设计的</w:t>
      </w:r>
      <w:r>
        <w:rPr>
          <w:rFonts w:hint="eastAsia"/>
          <w:color w:val="auto"/>
          <w:lang w:eastAsia="zh-CN"/>
        </w:rPr>
        <w:t>水土保持措施后，</w:t>
      </w:r>
      <w:r>
        <w:rPr>
          <w:rFonts w:hint="eastAsia"/>
          <w:color w:val="auto"/>
          <w:lang w:val="en-US" w:eastAsia="zh-CN"/>
        </w:rPr>
        <w:t>至设计水平年，本项目可治理水土流失面积3.64hm</w:t>
      </w:r>
      <w:r>
        <w:rPr>
          <w:rFonts w:hint="eastAsia"/>
          <w:color w:val="auto"/>
          <w:vertAlign w:val="superscript"/>
          <w:lang w:val="en-US" w:eastAsia="zh-CN"/>
        </w:rPr>
        <w:t>2</w:t>
      </w:r>
      <w:r>
        <w:rPr>
          <w:rFonts w:hint="eastAsia"/>
          <w:color w:val="auto"/>
          <w:lang w:val="en-US" w:eastAsia="zh-CN"/>
        </w:rPr>
        <w:t>，渣土挡护量1.30万m</w:t>
      </w:r>
      <w:r>
        <w:rPr>
          <w:rFonts w:hint="eastAsia"/>
          <w:color w:val="auto"/>
          <w:vertAlign w:val="superscript"/>
          <w:lang w:val="en-US" w:eastAsia="zh-CN"/>
        </w:rPr>
        <w:t>3</w:t>
      </w:r>
      <w:r>
        <w:rPr>
          <w:rFonts w:hint="eastAsia"/>
          <w:color w:val="auto"/>
        </w:rPr>
        <w:t>。</w:t>
      </w:r>
      <w:r>
        <w:rPr>
          <w:rFonts w:hint="eastAsia"/>
          <w:color w:val="auto"/>
          <w:lang w:val="en-US" w:eastAsia="zh-CN"/>
        </w:rPr>
        <w:t>六项指标中</w:t>
      </w:r>
      <w:r>
        <w:rPr>
          <w:rFonts w:hint="eastAsia"/>
          <w:color w:val="auto"/>
        </w:rPr>
        <w:t>水土流失治理度可达到</w:t>
      </w:r>
      <w:r>
        <w:rPr>
          <w:rFonts w:hint="eastAsia"/>
          <w:color w:val="auto"/>
          <w:lang w:val="en-US" w:eastAsia="zh-CN"/>
        </w:rPr>
        <w:t>99.45</w:t>
      </w:r>
      <w:r>
        <w:rPr>
          <w:rFonts w:hint="eastAsia"/>
          <w:color w:val="auto"/>
        </w:rPr>
        <w:t>%，</w:t>
      </w:r>
      <w:r>
        <w:rPr>
          <w:color w:val="auto"/>
        </w:rPr>
        <w:t>土壤流失控制比</w:t>
      </w:r>
      <w:r>
        <w:rPr>
          <w:rFonts w:hint="eastAsia"/>
          <w:color w:val="auto"/>
        </w:rPr>
        <w:t>可达到</w:t>
      </w:r>
      <w:r>
        <w:rPr>
          <w:rFonts w:hint="eastAsia"/>
          <w:color w:val="auto"/>
          <w:lang w:val="en-US" w:eastAsia="zh-CN"/>
        </w:rPr>
        <w:t>1.67</w:t>
      </w:r>
      <w:r>
        <w:rPr>
          <w:rFonts w:hint="eastAsia"/>
          <w:color w:val="auto"/>
        </w:rPr>
        <w:t>，</w:t>
      </w:r>
      <w:r>
        <w:rPr>
          <w:rFonts w:hint="eastAsia"/>
          <w:color w:val="auto"/>
          <w:lang w:eastAsia="zh-CN"/>
        </w:rPr>
        <w:t>渣土防护率达到</w:t>
      </w:r>
      <w:r>
        <w:rPr>
          <w:rFonts w:hint="eastAsia"/>
          <w:color w:val="auto"/>
          <w:lang w:val="en-US" w:eastAsia="zh-CN"/>
        </w:rPr>
        <w:t>98.48%，表土保护率、</w:t>
      </w:r>
      <w:r>
        <w:rPr>
          <w:rFonts w:hint="eastAsia"/>
          <w:color w:val="auto"/>
        </w:rPr>
        <w:t>林草植被恢复率</w:t>
      </w:r>
      <w:r>
        <w:rPr>
          <w:rFonts w:hint="eastAsia"/>
          <w:color w:val="auto"/>
          <w:lang w:eastAsia="zh-CN"/>
        </w:rPr>
        <w:t>、</w:t>
      </w:r>
      <w:r>
        <w:rPr>
          <w:rFonts w:hint="eastAsia"/>
          <w:color w:val="auto"/>
        </w:rPr>
        <w:t>林草覆盖率</w:t>
      </w:r>
      <w:r>
        <w:rPr>
          <w:rFonts w:hint="eastAsia"/>
          <w:color w:val="auto"/>
          <w:lang w:val="en-US" w:eastAsia="zh-CN"/>
        </w:rPr>
        <w:t>不计列。</w:t>
      </w:r>
    </w:p>
    <w:p w14:paraId="79765BB5">
      <w:pPr>
        <w:pStyle w:val="5"/>
        <w:bidi w:val="0"/>
        <w:rPr>
          <w:color w:val="auto"/>
        </w:rPr>
      </w:pPr>
      <w:r>
        <w:rPr>
          <w:rFonts w:hint="eastAsia"/>
          <w:color w:val="auto"/>
        </w:rPr>
        <w:t>7.2.3</w:t>
      </w:r>
      <w:r>
        <w:rPr>
          <w:color w:val="auto"/>
        </w:rPr>
        <w:t>水土保持效益分析</w:t>
      </w:r>
      <w:bookmarkEnd w:id="176"/>
      <w:bookmarkEnd w:id="177"/>
      <w:bookmarkEnd w:id="178"/>
    </w:p>
    <w:p w14:paraId="7EC9B4D2">
      <w:pPr>
        <w:numPr>
          <w:ilvl w:val="0"/>
          <w:numId w:val="24"/>
        </w:numPr>
        <w:ind w:firstLineChars="0"/>
        <w:rPr>
          <w:color w:val="auto"/>
        </w:rPr>
      </w:pPr>
      <w:bookmarkStart w:id="179" w:name="_Toc418004978"/>
      <w:bookmarkStart w:id="180" w:name="_Toc416298728"/>
      <w:r>
        <w:rPr>
          <w:color w:val="auto"/>
        </w:rPr>
        <w:t>社会效益</w:t>
      </w:r>
      <w:bookmarkEnd w:id="179"/>
      <w:bookmarkEnd w:id="180"/>
    </w:p>
    <w:p w14:paraId="19EBF2E7">
      <w:pPr>
        <w:ind w:firstLine="480"/>
        <w:rPr>
          <w:color w:val="auto"/>
        </w:rPr>
      </w:pPr>
      <w:r>
        <w:rPr>
          <w:color w:val="auto"/>
        </w:rPr>
        <w:t>通过认真贯彻水土保持法律法规，因地制宜采取水土保持预防、治理、监督检查</w:t>
      </w:r>
      <w:r>
        <w:rPr>
          <w:rFonts w:hint="eastAsia"/>
          <w:color w:val="auto"/>
          <w:lang w:val="en-US" w:eastAsia="zh-CN"/>
        </w:rPr>
        <w:t>等</w:t>
      </w:r>
      <w:r>
        <w:rPr>
          <w:color w:val="auto"/>
        </w:rPr>
        <w:t>措施，使项目建设期可能发生的水土流失及危害降到最低限度，保护了耕地土壤，工程在建设过程中修筑的施工道路及水土保持防护工程，一定程度上改善了当地的交通条件，提高了该区抵御自然灾害的能力，使当地群众受益，从而确保项目建设顺利进行，不仅有利于项目区社会经济发展，又美化工程区环境，促进当地经济持续发展。</w:t>
      </w:r>
    </w:p>
    <w:p w14:paraId="2E4D7F30">
      <w:pPr>
        <w:numPr>
          <w:ilvl w:val="0"/>
          <w:numId w:val="24"/>
        </w:numPr>
        <w:ind w:firstLineChars="0"/>
        <w:rPr>
          <w:color w:val="auto"/>
        </w:rPr>
      </w:pPr>
      <w:bookmarkStart w:id="181" w:name="_Toc418004979"/>
      <w:bookmarkStart w:id="182" w:name="_Toc416298729"/>
      <w:r>
        <w:rPr>
          <w:color w:val="auto"/>
        </w:rPr>
        <w:t>经济效益</w:t>
      </w:r>
      <w:bookmarkEnd w:id="181"/>
      <w:bookmarkEnd w:id="182"/>
    </w:p>
    <w:p w14:paraId="3BDA11E1">
      <w:pPr>
        <w:ind w:firstLine="480"/>
        <w:rPr>
          <w:color w:val="auto"/>
        </w:rPr>
      </w:pPr>
      <w:r>
        <w:rPr>
          <w:color w:val="auto"/>
        </w:rPr>
        <w:t>各项水土保持措施实施后，不仅使项目区新增水土流失得以治理，而且原有的水土流失也得到治理，这样既保证了</w:t>
      </w:r>
      <w:r>
        <w:rPr>
          <w:rFonts w:hint="eastAsia"/>
          <w:color w:val="auto"/>
        </w:rPr>
        <w:t>施工现场</w:t>
      </w:r>
      <w:r>
        <w:rPr>
          <w:color w:val="auto"/>
        </w:rPr>
        <w:t>的安全，也减少了进入水系的泥沙、土石数量，减少了河道的淤积，从而也就减少了雨季洪水的灾害损失，减少了清淤等防洪工程的投资，无论对建设方还是当地政府、居民都将具有明显的经济效</w:t>
      </w:r>
      <w:r>
        <w:rPr>
          <w:rFonts w:hint="eastAsia"/>
          <w:color w:val="auto"/>
        </w:rPr>
        <w:t>益。</w:t>
      </w:r>
    </w:p>
    <w:p w14:paraId="7A549E4C">
      <w:pPr>
        <w:ind w:firstLine="480"/>
        <w:rPr>
          <w:color w:val="auto"/>
        </w:rPr>
        <w:sectPr>
          <w:headerReference r:id="rId19" w:type="default"/>
          <w:pgSz w:w="11906" w:h="16838"/>
          <w:pgMar w:top="1417" w:right="1417" w:bottom="1417" w:left="1417" w:header="1134" w:footer="1134" w:gutter="0"/>
          <w:pgBorders>
            <w:top w:val="none" w:sz="0" w:space="0"/>
            <w:left w:val="none" w:sz="0" w:space="0"/>
            <w:bottom w:val="none" w:sz="0" w:space="0"/>
            <w:right w:val="none" w:sz="0" w:space="0"/>
          </w:pgBorders>
          <w:pgNumType w:fmt="decimal"/>
          <w:cols w:space="425" w:num="1"/>
          <w:docGrid w:type="lines" w:linePitch="312" w:charSpace="0"/>
        </w:sectPr>
      </w:pPr>
    </w:p>
    <w:p w14:paraId="49CE9DE6">
      <w:pPr>
        <w:pStyle w:val="2"/>
        <w:rPr>
          <w:color w:val="auto"/>
        </w:rPr>
      </w:pPr>
      <w:bookmarkStart w:id="183" w:name="_Toc19401"/>
      <w:r>
        <w:rPr>
          <w:rFonts w:hint="eastAsia"/>
          <w:color w:val="auto"/>
        </w:rPr>
        <w:t>8 水土保持管理</w:t>
      </w:r>
      <w:bookmarkEnd w:id="183"/>
    </w:p>
    <w:p w14:paraId="7249C413">
      <w:pPr>
        <w:pStyle w:val="3"/>
        <w:bidi w:val="0"/>
        <w:rPr>
          <w:color w:val="auto"/>
        </w:rPr>
      </w:pPr>
      <w:bookmarkStart w:id="184" w:name="_Toc24334"/>
      <w:bookmarkStart w:id="185" w:name="_Toc10837"/>
      <w:bookmarkStart w:id="186" w:name="_Toc7502"/>
      <w:bookmarkStart w:id="187" w:name="_Toc31478"/>
      <w:bookmarkStart w:id="188" w:name="_Toc15206"/>
      <w:bookmarkStart w:id="189" w:name="_Toc8538"/>
      <w:bookmarkStart w:id="190" w:name="_Toc17945"/>
      <w:r>
        <w:rPr>
          <w:rFonts w:hint="eastAsia"/>
          <w:color w:val="auto"/>
        </w:rPr>
        <w:t>8.1组织管理</w:t>
      </w:r>
      <w:bookmarkEnd w:id="184"/>
      <w:bookmarkEnd w:id="185"/>
      <w:bookmarkEnd w:id="186"/>
      <w:bookmarkEnd w:id="187"/>
      <w:bookmarkEnd w:id="188"/>
      <w:bookmarkEnd w:id="189"/>
      <w:bookmarkEnd w:id="190"/>
    </w:p>
    <w:p w14:paraId="6FB72729">
      <w:pPr>
        <w:widowControl/>
        <w:adjustRightInd w:val="0"/>
        <w:snapToGrid w:val="0"/>
        <w:spacing w:line="500" w:lineRule="exact"/>
        <w:ind w:firstLine="480"/>
        <w:jc w:val="left"/>
        <w:rPr>
          <w:rFonts w:cs="Times New Roman"/>
          <w:color w:val="auto"/>
          <w:kern w:val="0"/>
        </w:rPr>
      </w:pPr>
      <w:bookmarkStart w:id="191" w:name="_Toc418004981"/>
      <w:bookmarkStart w:id="192" w:name="_Toc416298731"/>
      <w:r>
        <w:rPr>
          <w:rFonts w:cs="Times New Roman"/>
          <w:color w:val="auto"/>
          <w:kern w:val="0"/>
        </w:rPr>
        <w:t>建设单位</w:t>
      </w:r>
      <w:r>
        <w:rPr>
          <w:rFonts w:hint="eastAsia" w:cs="Times New Roman"/>
          <w:color w:val="auto"/>
          <w:kern w:val="0"/>
          <w:lang w:val="en-US" w:eastAsia="zh-CN"/>
        </w:rPr>
        <w:t>将</w:t>
      </w:r>
      <w:r>
        <w:rPr>
          <w:rFonts w:cs="Times New Roman"/>
          <w:color w:val="auto"/>
          <w:kern w:val="0"/>
        </w:rPr>
        <w:t>组建强有力的管理体系，加强对相应人员培训，强化水土保持意识，承担组织、协调作用，通过与当地水行政主管部门、工程施工企业、施工监理人员密切配合，</w:t>
      </w:r>
      <w:r>
        <w:rPr>
          <w:rFonts w:hint="eastAsia" w:cs="Times New Roman"/>
          <w:color w:val="auto"/>
          <w:kern w:val="0"/>
        </w:rPr>
        <w:t>及</w:t>
      </w:r>
      <w:r>
        <w:rPr>
          <w:rFonts w:cs="Times New Roman"/>
          <w:color w:val="auto"/>
          <w:kern w:val="0"/>
        </w:rPr>
        <w:t>时调拨水土保持设施的各项经费，保证并落实水土保持各项设施，保质保量完成任务。具体如下：</w:t>
      </w:r>
    </w:p>
    <w:p w14:paraId="7FB49966">
      <w:pPr>
        <w:widowControl/>
        <w:adjustRightInd w:val="0"/>
        <w:snapToGrid w:val="0"/>
        <w:spacing w:line="500" w:lineRule="exact"/>
        <w:ind w:firstLine="480"/>
        <w:jc w:val="left"/>
        <w:rPr>
          <w:rFonts w:cs="Times New Roman"/>
          <w:color w:val="auto"/>
          <w:kern w:val="0"/>
        </w:rPr>
      </w:pPr>
      <w:r>
        <w:rPr>
          <w:rFonts w:cs="Times New Roman"/>
          <w:color w:val="auto"/>
          <w:kern w:val="0"/>
        </w:rPr>
        <w:t>（1）根据《中华人民共和国水土保持法》，水土保持方案报水行政主管部门批准后，由建设单位负责组织实施。为保证水土保持方案的顺利实施，建立强有力的组织机构是十分必要的。</w:t>
      </w:r>
    </w:p>
    <w:p w14:paraId="44B67202">
      <w:pPr>
        <w:widowControl/>
        <w:adjustRightInd w:val="0"/>
        <w:snapToGrid w:val="0"/>
        <w:spacing w:line="500" w:lineRule="exact"/>
        <w:ind w:firstLine="480"/>
        <w:jc w:val="left"/>
        <w:rPr>
          <w:rFonts w:cs="Times New Roman"/>
          <w:color w:val="auto"/>
          <w:kern w:val="0"/>
        </w:rPr>
      </w:pPr>
      <w:r>
        <w:rPr>
          <w:rFonts w:cs="Times New Roman"/>
          <w:color w:val="auto"/>
          <w:kern w:val="0"/>
        </w:rPr>
        <w:t>（2）认真贯彻执行“预防为主、保护优先、全面规划、因地制宜、综合防治、突出重点、科学管理、注重效益”的水土保持工作方针。制定水土保持方案实施、检查、验收的具体办法和要求，组织实施方案提出的各项防治措施。</w:t>
      </w:r>
    </w:p>
    <w:p w14:paraId="4057F1F6">
      <w:pPr>
        <w:widowControl/>
        <w:adjustRightInd w:val="0"/>
        <w:snapToGrid w:val="0"/>
        <w:spacing w:line="500" w:lineRule="exact"/>
        <w:ind w:firstLine="480"/>
        <w:jc w:val="left"/>
        <w:rPr>
          <w:rFonts w:cs="Times New Roman"/>
          <w:color w:val="auto"/>
          <w:kern w:val="0"/>
        </w:rPr>
      </w:pPr>
      <w:r>
        <w:rPr>
          <w:rFonts w:cs="Times New Roman"/>
          <w:color w:val="auto"/>
          <w:kern w:val="0"/>
        </w:rPr>
        <w:t>（3）建立水土保持目标责任制，把水土保持列为工程进度、质量考核的内容之一，按年度向水行政主管部门，报告水土流失治理情况，并制定水土保持方案详细实施计划。</w:t>
      </w:r>
    </w:p>
    <w:p w14:paraId="22A994FB">
      <w:pPr>
        <w:widowControl/>
        <w:adjustRightInd w:val="0"/>
        <w:snapToGrid w:val="0"/>
        <w:spacing w:line="500" w:lineRule="exact"/>
        <w:ind w:firstLine="480"/>
        <w:jc w:val="left"/>
        <w:rPr>
          <w:rFonts w:cs="Times New Roman"/>
          <w:color w:val="auto"/>
          <w:kern w:val="0"/>
        </w:rPr>
      </w:pPr>
      <w:r>
        <w:rPr>
          <w:rFonts w:cs="Times New Roman"/>
          <w:color w:val="auto"/>
          <w:kern w:val="0"/>
        </w:rPr>
        <w:t>（4）工程施工期间，负责与设计、施工、监理单位保持联系，协调好水土保持方案与主体工程的关系，确保水土保持工程的正常开展和顺利进行，并按时竣工，减少或避免工程建设可能造成的水土流失和生态环境的破坏。</w:t>
      </w:r>
    </w:p>
    <w:p w14:paraId="282E2F8B">
      <w:pPr>
        <w:widowControl/>
        <w:adjustRightInd w:val="0"/>
        <w:snapToGrid w:val="0"/>
        <w:spacing w:line="500" w:lineRule="exact"/>
        <w:ind w:firstLine="480"/>
        <w:jc w:val="left"/>
        <w:rPr>
          <w:rFonts w:cs="Times New Roman"/>
          <w:color w:val="auto"/>
          <w:kern w:val="0"/>
        </w:rPr>
      </w:pPr>
      <w:r>
        <w:rPr>
          <w:rFonts w:cs="Times New Roman"/>
          <w:color w:val="auto"/>
          <w:kern w:val="0"/>
        </w:rPr>
        <w:t>（5）工程现场进行检查和观测，掌握工程施工和运行期间的水土流失及其防治措施落实状况，为有关部门决策提供基础资料。</w:t>
      </w:r>
    </w:p>
    <w:p w14:paraId="08C4FC52">
      <w:pPr>
        <w:widowControl/>
        <w:adjustRightInd w:val="0"/>
        <w:snapToGrid w:val="0"/>
        <w:spacing w:line="500" w:lineRule="exact"/>
        <w:ind w:firstLine="480"/>
        <w:jc w:val="left"/>
        <w:rPr>
          <w:rFonts w:cs="Times New Roman"/>
          <w:color w:val="auto"/>
          <w:kern w:val="0"/>
        </w:rPr>
      </w:pPr>
      <w:r>
        <w:rPr>
          <w:rFonts w:cs="Times New Roman"/>
          <w:color w:val="auto"/>
          <w:kern w:val="0"/>
        </w:rPr>
        <w:t>（6）建立、健全各项档案，积累、分析整编资料，为水土保持工程验收提供相关资料。</w:t>
      </w:r>
    </w:p>
    <w:p w14:paraId="3FF67C19">
      <w:pPr>
        <w:pStyle w:val="3"/>
        <w:rPr>
          <w:color w:val="auto"/>
        </w:rPr>
      </w:pPr>
      <w:bookmarkStart w:id="193" w:name="_Toc31281"/>
      <w:bookmarkStart w:id="194" w:name="_Toc25034"/>
      <w:bookmarkStart w:id="195" w:name="_Toc7704"/>
      <w:bookmarkStart w:id="196" w:name="_Toc30552"/>
      <w:bookmarkStart w:id="197" w:name="_Toc7521"/>
      <w:r>
        <w:rPr>
          <w:rFonts w:hint="eastAsia"/>
          <w:color w:val="auto"/>
        </w:rPr>
        <w:t>8.2后续设计</w:t>
      </w:r>
      <w:bookmarkEnd w:id="193"/>
      <w:bookmarkEnd w:id="194"/>
      <w:bookmarkEnd w:id="195"/>
      <w:bookmarkEnd w:id="196"/>
      <w:bookmarkEnd w:id="197"/>
    </w:p>
    <w:p w14:paraId="3BF1E4A4">
      <w:pPr>
        <w:ind w:firstLine="480"/>
        <w:rPr>
          <w:rFonts w:cs="Times New Roman"/>
          <w:color w:val="auto"/>
          <w:lang w:bidi="zh-CN"/>
        </w:rPr>
      </w:pPr>
      <w:r>
        <w:rPr>
          <w:rFonts w:hint="eastAsia"/>
          <w:color w:val="auto"/>
          <w:lang w:val="zh-CN"/>
        </w:rPr>
        <w:t>本项目建设内容较简单，未开展后续水土保持措施专项设计</w:t>
      </w:r>
      <w:r>
        <w:rPr>
          <w:rFonts w:cs="Times New Roman"/>
          <w:color w:val="auto"/>
          <w:lang w:bidi="zh-CN"/>
        </w:rPr>
        <w:t>。</w:t>
      </w:r>
    </w:p>
    <w:p w14:paraId="36848926">
      <w:pPr>
        <w:pStyle w:val="3"/>
        <w:rPr>
          <w:color w:val="auto"/>
        </w:rPr>
      </w:pPr>
      <w:bookmarkStart w:id="198" w:name="_Toc9957"/>
      <w:bookmarkStart w:id="199" w:name="_Toc16550"/>
      <w:bookmarkStart w:id="200" w:name="_Toc12935"/>
      <w:bookmarkStart w:id="201" w:name="_Toc6989"/>
      <w:bookmarkStart w:id="202" w:name="_Toc31504"/>
      <w:r>
        <w:rPr>
          <w:rFonts w:hint="eastAsia"/>
          <w:color w:val="auto"/>
        </w:rPr>
        <w:t>8.3水土保持监测</w:t>
      </w:r>
      <w:bookmarkEnd w:id="198"/>
      <w:bookmarkEnd w:id="199"/>
      <w:bookmarkEnd w:id="200"/>
      <w:bookmarkEnd w:id="201"/>
      <w:bookmarkEnd w:id="202"/>
    </w:p>
    <w:p w14:paraId="0B39382B">
      <w:pPr>
        <w:ind w:firstLine="480"/>
        <w:jc w:val="left"/>
        <w:rPr>
          <w:color w:val="auto"/>
        </w:rPr>
      </w:pPr>
      <w:r>
        <w:rPr>
          <w:rFonts w:hint="eastAsia"/>
          <w:bCs/>
          <w:color w:val="auto"/>
          <w:lang w:val="zh-CN"/>
        </w:rPr>
        <w:t>根据《水利部关于进一步深化“放管服”改革全面加强水土保持监管的意见》（水保〔2019〕160号）、《水利部办公厅关于进一步加强生产建设项目水土保持监测工作的通知》（办水保〔2020〕161 号）中简化验收报备的要求，该项目属于实行承诺制管理的项目，对水土保持监测不作相应要求，但建设单位应依法做好水土流失防治工作</w:t>
      </w:r>
      <w:r>
        <w:rPr>
          <w:rFonts w:hint="eastAsia"/>
          <w:color w:val="auto"/>
        </w:rPr>
        <w:t>。</w:t>
      </w:r>
    </w:p>
    <w:p w14:paraId="56E674CD">
      <w:pPr>
        <w:pStyle w:val="3"/>
        <w:rPr>
          <w:color w:val="auto"/>
        </w:rPr>
      </w:pPr>
      <w:bookmarkStart w:id="203" w:name="_Toc12790"/>
      <w:bookmarkStart w:id="204" w:name="_Toc11674"/>
      <w:bookmarkStart w:id="205" w:name="_Toc26081"/>
      <w:bookmarkStart w:id="206" w:name="_Toc3359"/>
      <w:bookmarkStart w:id="207" w:name="_Toc21723"/>
      <w:r>
        <w:rPr>
          <w:rFonts w:hint="eastAsia"/>
          <w:color w:val="auto"/>
        </w:rPr>
        <w:t>8.4水土保持监理</w:t>
      </w:r>
      <w:bookmarkEnd w:id="203"/>
      <w:bookmarkEnd w:id="204"/>
      <w:bookmarkEnd w:id="205"/>
      <w:bookmarkEnd w:id="206"/>
      <w:bookmarkEnd w:id="207"/>
    </w:p>
    <w:p w14:paraId="2BFB385D">
      <w:pPr>
        <w:ind w:firstLine="480"/>
        <w:rPr>
          <w:color w:val="auto"/>
          <w:lang w:val="zh-CN"/>
        </w:rPr>
      </w:pPr>
      <w:r>
        <w:rPr>
          <w:color w:val="auto"/>
          <w:lang w:val="zh-CN"/>
        </w:rPr>
        <w:t>根据《水利部关于进一步深化“放管服”改革全面加强水土保持监管的意见》（水保[2019]160号）精神，凡主体工程开展监理工作的项目，应当按照水土保持监理标准和规范开展水土保持工程施工监理。</w:t>
      </w:r>
    </w:p>
    <w:p w14:paraId="213679EC">
      <w:pPr>
        <w:ind w:firstLine="480"/>
        <w:rPr>
          <w:color w:val="auto"/>
          <w:lang w:val="zh-CN"/>
        </w:rPr>
      </w:pPr>
      <w:r>
        <w:rPr>
          <w:rFonts w:hint="eastAsia"/>
          <w:color w:val="auto"/>
        </w:rPr>
        <w:t>本项目占地</w:t>
      </w:r>
      <w:r>
        <w:rPr>
          <w:rFonts w:hint="eastAsia"/>
          <w:color w:val="auto"/>
          <w:lang w:val="en-US" w:eastAsia="zh-CN"/>
        </w:rPr>
        <w:t>3.66</w:t>
      </w:r>
      <w:r>
        <w:rPr>
          <w:rFonts w:hint="eastAsia"/>
          <w:color w:val="auto"/>
        </w:rPr>
        <w:t>hm</w:t>
      </w:r>
      <w:r>
        <w:rPr>
          <w:rFonts w:hint="eastAsia"/>
          <w:color w:val="auto"/>
          <w:vertAlign w:val="superscript"/>
        </w:rPr>
        <w:t>2</w:t>
      </w:r>
      <w:r>
        <w:rPr>
          <w:rFonts w:hint="eastAsia"/>
          <w:color w:val="auto"/>
        </w:rPr>
        <w:t>，挖填土石方总量</w:t>
      </w:r>
      <w:r>
        <w:rPr>
          <w:rFonts w:hint="eastAsia"/>
          <w:color w:val="auto"/>
          <w:lang w:val="en-US" w:eastAsia="zh-CN"/>
        </w:rPr>
        <w:t>1.32</w:t>
      </w:r>
      <w:r>
        <w:rPr>
          <w:rFonts w:hint="eastAsia"/>
          <w:color w:val="auto"/>
        </w:rPr>
        <w:t>万m</w:t>
      </w:r>
      <w:r>
        <w:rPr>
          <w:rFonts w:hint="eastAsia"/>
          <w:color w:val="auto"/>
          <w:vertAlign w:val="superscript"/>
        </w:rPr>
        <w:t>3</w:t>
      </w:r>
      <w:r>
        <w:rPr>
          <w:rFonts w:hint="eastAsia"/>
          <w:color w:val="auto"/>
        </w:rPr>
        <w:t>，建设单位</w:t>
      </w:r>
      <w:r>
        <w:rPr>
          <w:rFonts w:hint="eastAsia"/>
          <w:color w:val="auto"/>
          <w:lang w:val="en-US" w:eastAsia="zh-CN"/>
        </w:rPr>
        <w:t>可</w:t>
      </w:r>
      <w:r>
        <w:rPr>
          <w:rFonts w:hint="eastAsia"/>
          <w:color w:val="auto"/>
        </w:rPr>
        <w:t>委托主体工程监理单位承担</w:t>
      </w:r>
      <w:r>
        <w:rPr>
          <w:rFonts w:hint="eastAsia"/>
          <w:color w:val="auto"/>
          <w:lang w:val="en-US" w:eastAsia="zh-CN"/>
        </w:rPr>
        <w:t>本项目水土保持监理工作</w:t>
      </w:r>
      <w:r>
        <w:rPr>
          <w:color w:val="auto"/>
        </w:rPr>
        <w:t>。</w:t>
      </w:r>
      <w:r>
        <w:rPr>
          <w:rFonts w:hint="eastAsia"/>
          <w:color w:val="auto"/>
        </w:rPr>
        <w:t>监理单位应编制水土保持监理报告（季报、年报），作为开发建设项目水土保持设施验收的基础</w:t>
      </w:r>
      <w:r>
        <w:rPr>
          <w:rFonts w:hint="eastAsia"/>
          <w:color w:val="auto"/>
          <w:lang w:val="en-US" w:eastAsia="zh-CN"/>
        </w:rPr>
        <w:t>资料</w:t>
      </w:r>
      <w:r>
        <w:rPr>
          <w:rFonts w:hint="eastAsia"/>
          <w:color w:val="auto"/>
        </w:rPr>
        <w:t>；工作报告主要对水土保持监理工作进行总结，提出存在的重大水土保持问题和解决问题的方法，以及水土保持监理工作计划安排和工作重点；定期归档监理成果。水土保持竣工验收时需提交水土保持专项监理报告、临时措施的影像资料和质量评定的原始资料</w:t>
      </w:r>
      <w:r>
        <w:rPr>
          <w:rFonts w:hint="eastAsia"/>
          <w:color w:val="auto"/>
          <w:lang w:val="zh-CN"/>
        </w:rPr>
        <w:t>。</w:t>
      </w:r>
    </w:p>
    <w:p w14:paraId="131E6C76">
      <w:pPr>
        <w:pStyle w:val="3"/>
        <w:rPr>
          <w:color w:val="auto"/>
        </w:rPr>
      </w:pPr>
      <w:bookmarkStart w:id="208" w:name="_Toc27161"/>
      <w:bookmarkStart w:id="209" w:name="_Toc26319"/>
      <w:bookmarkStart w:id="210" w:name="_Toc25225"/>
      <w:bookmarkStart w:id="211" w:name="_Toc22184"/>
      <w:bookmarkStart w:id="212" w:name="_Toc10092"/>
      <w:r>
        <w:rPr>
          <w:rFonts w:hint="eastAsia"/>
          <w:color w:val="auto"/>
        </w:rPr>
        <w:t>8.5水土保持施工</w:t>
      </w:r>
      <w:bookmarkEnd w:id="208"/>
      <w:bookmarkEnd w:id="209"/>
      <w:bookmarkEnd w:id="210"/>
      <w:bookmarkEnd w:id="211"/>
      <w:bookmarkEnd w:id="212"/>
    </w:p>
    <w:bookmarkEnd w:id="191"/>
    <w:bookmarkEnd w:id="192"/>
    <w:p w14:paraId="6FD7E680">
      <w:pPr>
        <w:ind w:firstLine="480"/>
        <w:rPr>
          <w:color w:val="auto"/>
        </w:rPr>
      </w:pPr>
      <w:r>
        <w:rPr>
          <w:rFonts w:hint="eastAsia"/>
          <w:color w:val="auto"/>
        </w:rPr>
        <w:t>为了保证本工程水土保持设计提出的各项水土保持防治措施的实施和落实，采取业主治理的方式，将水土保持设计内容纳入主体工程施工管理体系中，按照水土保持设计的治理措施、进度安排、技术标准等，严格要求施工单位保质保量完成水土保持各项措施。同时对施工单位组织学习《中华人民共和国水土保持法》</w:t>
      </w:r>
      <w:r>
        <w:rPr>
          <w:rFonts w:hint="eastAsia"/>
          <w:color w:val="auto"/>
          <w:lang w:eastAsia="zh-CN"/>
        </w:rPr>
        <w:t>，</w:t>
      </w:r>
      <w:r>
        <w:rPr>
          <w:rFonts w:hint="eastAsia"/>
          <w:color w:val="auto"/>
        </w:rPr>
        <w:t>加大宣传力度，提高工程建设者的水土保持自觉行动意识。同时配备环境保护专业人员，以解决措施实施过程中的技术问题，接受当地水行政主管部门的监督检查。值得注意的是，工程施工是分标段进行，为避免施工单位乱取、乱弃等问题，建设单位应加强施工管理。</w:t>
      </w:r>
    </w:p>
    <w:p w14:paraId="105B6B4E">
      <w:pPr>
        <w:pStyle w:val="3"/>
        <w:rPr>
          <w:color w:val="auto"/>
        </w:rPr>
      </w:pPr>
      <w:bookmarkStart w:id="213" w:name="_Toc27676"/>
      <w:bookmarkStart w:id="214" w:name="_Toc11431"/>
      <w:bookmarkStart w:id="215" w:name="_Toc2748"/>
      <w:bookmarkStart w:id="216" w:name="_Toc25724"/>
      <w:r>
        <w:rPr>
          <w:rFonts w:hint="eastAsia"/>
          <w:color w:val="auto"/>
        </w:rPr>
        <w:t>8.6水土保持设施验收</w:t>
      </w:r>
      <w:bookmarkEnd w:id="213"/>
      <w:bookmarkEnd w:id="214"/>
      <w:bookmarkEnd w:id="215"/>
      <w:bookmarkEnd w:id="216"/>
    </w:p>
    <w:p w14:paraId="449C0B1C">
      <w:pPr>
        <w:ind w:firstLine="480"/>
        <w:rPr>
          <w:color w:val="auto"/>
          <w:lang w:val="zh-CN"/>
        </w:rPr>
      </w:pPr>
      <w:r>
        <w:rPr>
          <w:color w:val="auto"/>
        </w:rPr>
        <w:t>根据《水利部关于加强事中事后监管规范生产建设项目水土保持设施自主验收的通知》（水保</w:t>
      </w:r>
      <w:r>
        <w:rPr>
          <w:rFonts w:hint="eastAsia" w:ascii="宋体" w:hAnsi="宋体" w:eastAsia="宋体"/>
          <w:color w:val="auto"/>
        </w:rPr>
        <w:t>﹝</w:t>
      </w:r>
      <w:r>
        <w:rPr>
          <w:color w:val="auto"/>
        </w:rPr>
        <w:t>2017</w:t>
      </w:r>
      <w:r>
        <w:rPr>
          <w:rFonts w:hint="eastAsia" w:ascii="宋体" w:hAnsi="宋体" w:eastAsia="宋体"/>
          <w:color w:val="auto"/>
        </w:rPr>
        <w:t>﹞</w:t>
      </w:r>
      <w:r>
        <w:rPr>
          <w:color w:val="auto"/>
        </w:rPr>
        <w:t>365号）</w:t>
      </w:r>
      <w:r>
        <w:rPr>
          <w:rFonts w:hint="eastAsia"/>
          <w:color w:val="auto"/>
        </w:rPr>
        <w:t>和</w:t>
      </w:r>
      <w:r>
        <w:rPr>
          <w:color w:val="auto"/>
        </w:rPr>
        <w:t>《四川省水利厅转发水利部关于加强事中事后监管规范生产建设项目水土保持设施自主验收的通知》（川水函</w:t>
      </w:r>
      <w:r>
        <w:rPr>
          <w:rFonts w:hint="eastAsia" w:ascii="宋体" w:hAnsi="宋体" w:eastAsia="宋体"/>
          <w:color w:val="auto"/>
        </w:rPr>
        <w:t>﹝</w:t>
      </w:r>
      <w:r>
        <w:rPr>
          <w:color w:val="auto"/>
        </w:rPr>
        <w:t>2018</w:t>
      </w:r>
      <w:r>
        <w:rPr>
          <w:rFonts w:hint="eastAsia" w:ascii="宋体" w:hAnsi="宋体" w:eastAsia="宋体"/>
          <w:color w:val="auto"/>
        </w:rPr>
        <w:t>﹞</w:t>
      </w:r>
      <w:r>
        <w:rPr>
          <w:color w:val="auto"/>
        </w:rPr>
        <w:t>887号）</w:t>
      </w:r>
      <w:r>
        <w:rPr>
          <w:rFonts w:hint="eastAsia"/>
          <w:color w:val="auto"/>
        </w:rPr>
        <w:t>等文件规定和要求，进行水土保持设施验收。</w:t>
      </w:r>
      <w:r>
        <w:rPr>
          <w:color w:val="auto"/>
          <w:lang w:val="zh-CN"/>
        </w:rPr>
        <w:t>其中，实行承诺制或备案制管理的项目，只需要提交水土保持设施验收鉴定书，其水土保持设施验收组中应当有至少一名省级水行政主管部门水土保持方案专家库专家。</w:t>
      </w:r>
    </w:p>
    <w:p w14:paraId="5CA52B2E">
      <w:pPr>
        <w:ind w:firstLine="480"/>
        <w:rPr>
          <w:rFonts w:hint="default"/>
          <w:color w:val="auto"/>
          <w:lang w:val="en-US" w:eastAsia="zh-CN"/>
        </w:rPr>
      </w:pPr>
      <w:r>
        <w:rPr>
          <w:rFonts w:hint="eastAsia"/>
          <w:color w:val="auto"/>
        </w:rPr>
        <w:t>对验收合格的项目</w:t>
      </w:r>
      <w:r>
        <w:rPr>
          <w:rFonts w:hint="eastAsia" w:cs="Microsoft Yi Baiti" w:asciiTheme="minorEastAsia" w:hAnsiTheme="minorEastAsia" w:eastAsiaTheme="minorEastAsia"/>
          <w:color w:val="auto"/>
        </w:rPr>
        <w:t>，</w:t>
      </w:r>
      <w:r>
        <w:rPr>
          <w:rFonts w:hint="eastAsia"/>
          <w:color w:val="auto"/>
        </w:rPr>
        <w:t>除按照国家规定需要保密的情形外</w:t>
      </w:r>
      <w:r>
        <w:rPr>
          <w:rFonts w:hint="eastAsia" w:cs="Microsoft Yi Baiti" w:asciiTheme="minorEastAsia" w:hAnsiTheme="minorEastAsia" w:eastAsiaTheme="minorEastAsia"/>
          <w:color w:val="auto"/>
        </w:rPr>
        <w:t>，</w:t>
      </w:r>
      <w:r>
        <w:rPr>
          <w:rFonts w:hint="eastAsia"/>
          <w:color w:val="auto"/>
        </w:rPr>
        <w:t>生产建设单位应在10个工作日内将水土保持设施验收鉴定书通过其官方网站或上级单位网站、行业网站、项目属地政府部门网站向社会公开</w:t>
      </w:r>
      <w:r>
        <w:rPr>
          <w:rFonts w:hint="eastAsia" w:cs="Microsoft Yi Baiti" w:asciiTheme="minorEastAsia" w:hAnsiTheme="minorEastAsia" w:eastAsiaTheme="minorEastAsia"/>
          <w:color w:val="auto"/>
        </w:rPr>
        <w:t>，</w:t>
      </w:r>
      <w:r>
        <w:rPr>
          <w:rFonts w:hint="eastAsia"/>
          <w:color w:val="auto"/>
        </w:rPr>
        <w:t>公示的时间不得少于20个工作日</w:t>
      </w:r>
      <w:r>
        <w:rPr>
          <w:rFonts w:hint="eastAsia" w:cs="Microsoft Yi Baiti" w:asciiTheme="minorEastAsia" w:hAnsiTheme="minorEastAsia" w:eastAsiaTheme="minorEastAsia"/>
          <w:color w:val="auto"/>
        </w:rPr>
        <w:t>，</w:t>
      </w:r>
      <w:r>
        <w:rPr>
          <w:rFonts w:hint="eastAsia"/>
          <w:color w:val="auto"/>
        </w:rPr>
        <w:t>并注明该项目建设单位和水土保持设施验收报备机关的联系电话</w:t>
      </w:r>
      <w:r>
        <w:rPr>
          <w:rFonts w:hint="eastAsia" w:cs="Microsoft Yi Baiti" w:asciiTheme="minorEastAsia" w:hAnsiTheme="minorEastAsia" w:eastAsiaTheme="minorEastAsia"/>
          <w:color w:val="auto"/>
        </w:rPr>
        <w:t>，</w:t>
      </w:r>
      <w:r>
        <w:rPr>
          <w:rFonts w:hint="eastAsia"/>
          <w:color w:val="auto"/>
        </w:rPr>
        <w:t>对于公众反映的主要问题和意见</w:t>
      </w:r>
      <w:r>
        <w:rPr>
          <w:rFonts w:hint="eastAsia" w:ascii="Microsoft Yi Baiti" w:hAnsi="Microsoft Yi Baiti" w:eastAsia="Microsoft Yi Baiti" w:cs="Microsoft Yi Baiti"/>
          <w:color w:val="auto"/>
        </w:rPr>
        <w:t>ꎬ</w:t>
      </w:r>
      <w:r>
        <w:rPr>
          <w:rFonts w:hint="eastAsia"/>
          <w:color w:val="auto"/>
        </w:rPr>
        <w:t>生产建设单位应当及时给予处理或者回应</w:t>
      </w:r>
      <w:r>
        <w:rPr>
          <w:rFonts w:hint="eastAsia" w:cs="Microsoft Yi Baiti" w:asciiTheme="minorEastAsia" w:hAnsiTheme="minorEastAsia" w:eastAsiaTheme="minorEastAsia"/>
          <w:color w:val="auto"/>
        </w:rPr>
        <w:t>。</w:t>
      </w:r>
    </w:p>
    <w:sectPr>
      <w:headerReference r:id="rId20" w:type="default"/>
      <w:pgSz w:w="11906" w:h="16838"/>
      <w:pgMar w:top="1417" w:right="1417" w:bottom="1417" w:left="1417" w:header="1134" w:footer="1134" w:gutter="0"/>
      <w:pgBorders>
        <w:top w:val="none" w:sz="0" w:space="0"/>
        <w:left w:val="none" w:sz="0" w:space="0"/>
        <w:bottom w:val="none" w:sz="0" w:space="0"/>
        <w:right w:val="none" w:sz="0" w:space="0"/>
      </w:pgBorders>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decorative"/>
    <w:pitch w:val="default"/>
    <w:sig w:usb0="E0002EFF" w:usb1="C000785B" w:usb2="00000009" w:usb3="00000000" w:csb0="400001FF" w:csb1="FFFF0000"/>
  </w:font>
  <w:font w:name="宋体">
    <w:panose1 w:val="02010600030101010101"/>
    <w:charset w:val="0D"/>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FangSong_GB2312">
    <w:altName w:val="仿宋_GB2312"/>
    <w:panose1 w:val="00000000000000000000"/>
    <w:charset w:val="00"/>
    <w:family w:val="auto"/>
    <w:pitch w:val="default"/>
    <w:sig w:usb0="00000000" w:usb1="00000000" w:usb2="00000000" w:usb3="00000000" w:csb0="00000000" w:csb1="00000000"/>
  </w:font>
  <w:font w:name="Cambria Math">
    <w:panose1 w:val="02040503050406030204"/>
    <w:charset w:val="00"/>
    <w:family w:val="roman"/>
    <w:pitch w:val="default"/>
    <w:sig w:usb0="E00006FF" w:usb1="420024FF" w:usb2="02000000" w:usb3="00000000" w:csb0="2000019F" w:csb1="00000000"/>
  </w:font>
  <w:font w:name="Microsoft Yi Baiti">
    <w:panose1 w:val="03000500000000000000"/>
    <w:charset w:val="00"/>
    <w:family w:val="script"/>
    <w:pitch w:val="default"/>
    <w:sig w:usb0="80000003" w:usb1="00010402" w:usb2="00080002" w:usb3="00000000" w:csb0="0000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3A71E9">
    <w:pPr>
      <w:pStyle w:val="16"/>
      <w:spacing w:line="240" w:lineRule="auto"/>
      <w:ind w:firstLine="0" w:firstLineChars="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9D2A10">
    <w:pPr>
      <w:pStyle w:val="16"/>
      <w:spacing w:line="240" w:lineRule="auto"/>
      <w:ind w:firstLine="0" w:firstLineChars="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722A9CEA">
                          <w:pPr>
                            <w:pStyle w:val="16"/>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2"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57YS00AgAAZQQAAA4AAABkcnMvZTJvRG9jLnhtbK1UzY7TMBC+I/EO&#10;lu80aRFL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Oe2EtNAIAAGUEAAAOAAAAAAAAAAEAIAAAAB8BAABkcnMvZTJvRG9jLnhtbFBL&#10;BQYAAAAABgAGAFkBAADFBQAAAAA=&#10;">
              <v:fill on="f" focussize="0,0"/>
              <v:stroke on="f" weight="0.5pt"/>
              <v:imagedata o:title=""/>
              <o:lock v:ext="edit" aspectratio="f"/>
              <v:textbox inset="0mm,0mm,0mm,0mm" style="mso-fit-shape-to-text:t;">
                <w:txbxContent>
                  <w:p w14:paraId="722A9CEA">
                    <w:pPr>
                      <w:pStyle w:val="16"/>
                      <w:ind w:firstLine="360"/>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35C998">
    <w:pPr>
      <w:pStyle w:val="16"/>
      <w:spacing w:line="240" w:lineRule="auto"/>
      <w:ind w:firstLine="0" w:firstLineChars="0"/>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13DD2828">
                          <w:pPr>
                            <w:pStyle w:val="16"/>
                            <w:ind w:firstLine="360"/>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2"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TIWBYyAgAAZ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hMhYFjICAABlBAAADgAAAAAAAAABACAAAAAfAQAAZHJzL2Uyb0RvYy54bWxQSwUG&#10;AAAAAAYABgBZAQAAwwUAAAAA&#10;">
              <v:fill on="f" focussize="0,0"/>
              <v:stroke on="f" weight="0.5pt"/>
              <v:imagedata o:title=""/>
              <o:lock v:ext="edit" aspectratio="f"/>
              <v:textbox inset="0mm,0mm,0mm,0mm" style="mso-fit-shape-to-text:t;">
                <w:txbxContent>
                  <w:p w14:paraId="13DD2828">
                    <w:pPr>
                      <w:pStyle w:val="16"/>
                      <w:ind w:firstLine="360"/>
                    </w:pPr>
                    <w:r>
                      <w:fldChar w:fldCharType="begin"/>
                    </w:r>
                    <w:r>
                      <w:instrText xml:space="preserve"> PAGE  \* MERGEFORMAT </w:instrText>
                    </w:r>
                    <w:r>
                      <w:fldChar w:fldCharType="separate"/>
                    </w:r>
                    <w:r>
                      <w:t>71</w:t>
                    </w:r>
                    <w:r>
                      <w:fldChar w:fldCharType="end"/>
                    </w:r>
                  </w:p>
                </w:txbxContent>
              </v:textbox>
            </v:shape>
          </w:pict>
        </mc:Fallback>
      </mc:AlternateContent>
    </w:r>
    <w:r>
      <w:rPr>
        <w:rFonts w:hint="eastAsia"/>
        <w:lang w:eastAsia="zh-CN"/>
      </w:rPr>
      <w:t>四川鑫逸诚工程咨询有限公司</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C09286">
    <w:pPr>
      <w:pStyle w:val="16"/>
      <w:framePr w:wrap="around" w:vAnchor="text" w:hAnchor="margin" w:xAlign="center" w:y="1"/>
      <w:ind w:firstLine="360"/>
      <w:rPr>
        <w:rStyle w:val="28"/>
      </w:rPr>
    </w:pPr>
    <w:r>
      <w:fldChar w:fldCharType="begin"/>
    </w:r>
    <w:r>
      <w:rPr>
        <w:rStyle w:val="28"/>
      </w:rPr>
      <w:instrText xml:space="preserve">PAGE  </w:instrText>
    </w:r>
    <w:r>
      <w:fldChar w:fldCharType="separate"/>
    </w:r>
    <w:r>
      <w:rPr>
        <w:rStyle w:val="28"/>
      </w:rPr>
      <w:t>27</w:t>
    </w:r>
    <w:r>
      <w:fldChar w:fldCharType="end"/>
    </w:r>
  </w:p>
  <w:p w14:paraId="3BE4CBEC">
    <w:pPr>
      <w:pStyle w:val="16"/>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63EAEC">
    <w:pPr>
      <w:pStyle w:val="16"/>
      <w:spacing w:line="240" w:lineRule="auto"/>
      <w:ind w:firstLine="0" w:firstLineChars="0"/>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69B23F62">
                          <w:pPr>
                            <w:pStyle w:val="16"/>
                            <w:ind w:firstLine="360"/>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2"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WKWUwzAgAAZQQAAA4AAABkcnMvZTJvRG9jLnhtbK1UzY7TMBC+I/EO&#10;lu80bVes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WKWUwzAgAAZQQAAA4AAAAAAAAAAQAgAAAAHwEAAGRycy9lMm9Eb2MueG1sUEsF&#10;BgAAAAAGAAYAWQEAAMQFAAAAAA==&#10;">
              <v:fill on="f" focussize="0,0"/>
              <v:stroke on="f" weight="0.5pt"/>
              <v:imagedata o:title=""/>
              <o:lock v:ext="edit" aspectratio="f"/>
              <v:textbox inset="0mm,0mm,0mm,0mm" style="mso-fit-shape-to-text:t;">
                <w:txbxContent>
                  <w:p w14:paraId="69B23F62">
                    <w:pPr>
                      <w:pStyle w:val="16"/>
                      <w:ind w:firstLine="360"/>
                    </w:pPr>
                    <w:r>
                      <w:fldChar w:fldCharType="begin"/>
                    </w:r>
                    <w:r>
                      <w:instrText xml:space="preserve"> PAGE  \* MERGEFORMAT </w:instrText>
                    </w:r>
                    <w:r>
                      <w:fldChar w:fldCharType="separate"/>
                    </w:r>
                    <w:r>
                      <w:t>71</w:t>
                    </w:r>
                    <w:r>
                      <w:fldChar w:fldCharType="end"/>
                    </w:r>
                  </w:p>
                </w:txbxContent>
              </v:textbox>
            </v:shape>
          </w:pict>
        </mc:Fallback>
      </mc:AlternateContent>
    </w:r>
    <w:r>
      <w:rPr>
        <w:rFonts w:hint="eastAsia"/>
        <w:lang w:eastAsia="zh-CN"/>
      </w:rPr>
      <w:t>四川鑫逸诚工程咨询有限公司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781A00">
    <w:pPr>
      <w:pStyle w:val="17"/>
      <w:pBdr>
        <w:bottom w:val="double" w:color="auto" w:sz="8" w:space="1"/>
      </w:pBdr>
      <w:spacing w:line="240" w:lineRule="auto"/>
      <w:ind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3DAA64">
    <w:pPr>
      <w:pStyle w:val="17"/>
      <w:pBdr>
        <w:bottom w:val="double" w:color="auto" w:sz="8" w:space="1"/>
      </w:pBdr>
      <w:spacing w:line="240" w:lineRule="auto"/>
      <w:ind w:firstLine="0" w:firstLineChars="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6F90F6">
    <w:pPr>
      <w:pStyle w:val="17"/>
      <w:pBdr>
        <w:bottom w:val="double" w:color="auto" w:sz="8" w:space="1"/>
      </w:pBdr>
      <w:spacing w:line="240" w:lineRule="auto"/>
      <w:ind w:firstLine="0" w:firstLineChars="0"/>
      <w:rPr>
        <w:rFonts w:hint="eastAsia" w:eastAsia="仿宋_GB2312"/>
        <w:lang w:val="en-US" w:eastAsia="zh-CN"/>
      </w:rPr>
    </w:pPr>
    <w:r>
      <w:rPr>
        <w:rFonts w:hint="eastAsia"/>
        <w:lang w:val="en-US" w:eastAsia="zh-CN"/>
      </w:rPr>
      <w:t>综合说明</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D2EB0F">
    <w:pPr>
      <w:pStyle w:val="17"/>
      <w:pBdr>
        <w:bottom w:val="double" w:color="auto" w:sz="8" w:space="1"/>
      </w:pBdr>
      <w:spacing w:line="240" w:lineRule="auto"/>
      <w:ind w:firstLine="0" w:firstLineChars="0"/>
      <w:rPr>
        <w:rFonts w:hint="default" w:eastAsia="仿宋_GB2312"/>
        <w:lang w:val="en-US" w:eastAsia="zh-CN"/>
      </w:rPr>
    </w:pPr>
    <w:r>
      <w:rPr>
        <w:rFonts w:hint="eastAsia"/>
        <w:lang w:val="en-US" w:eastAsia="zh-CN"/>
      </w:rPr>
      <w:t>项目概况</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1C9948">
    <w:pPr>
      <w:spacing w:before="19" w:line="219" w:lineRule="auto"/>
      <w:ind w:left="4131"/>
      <w:rPr>
        <w:rFonts w:ascii="仿宋" w:hAnsi="仿宋" w:eastAsia="仿宋" w:cs="仿宋"/>
        <w:sz w:val="21"/>
        <w:szCs w:val="21"/>
      </w:rPr>
    </w:pPr>
    <w:r>
      <mc:AlternateContent>
        <mc:Choice Requires="wps">
          <w:drawing>
            <wp:anchor distT="0" distB="0" distL="114300" distR="114300" simplePos="0" relativeHeight="251669504" behindDoc="0" locked="0" layoutInCell="0" allowOverlap="1">
              <wp:simplePos x="0" y="0"/>
              <wp:positionH relativeFrom="page">
                <wp:posOffset>882650</wp:posOffset>
              </wp:positionH>
              <wp:positionV relativeFrom="page">
                <wp:posOffset>726440</wp:posOffset>
              </wp:positionV>
              <wp:extent cx="5796915" cy="6350"/>
              <wp:effectExtent l="0" t="0" r="0" b="0"/>
              <wp:wrapNone/>
              <wp:docPr id="13" name="任意多边形 13"/>
              <wp:cNvGraphicFramePr/>
              <a:graphic xmlns:a="http://schemas.openxmlformats.org/drawingml/2006/main">
                <a:graphicData uri="http://schemas.microsoft.com/office/word/2010/wordprocessingShape">
                  <wps:wsp>
                    <wps:cNvSpPr/>
                    <wps:spPr>
                      <a:xfrm>
                        <a:off x="0" y="0"/>
                        <a:ext cx="5796915" cy="6350"/>
                      </a:xfrm>
                      <a:custGeom>
                        <a:avLst/>
                        <a:gdLst/>
                        <a:ahLst/>
                        <a:cxnLst/>
                        <a:pathLst>
                          <a:path w="9129" h="10">
                            <a:moveTo>
                              <a:pt x="0" y="9"/>
                            </a:moveTo>
                            <a:lnTo>
                              <a:pt x="9128" y="9"/>
                            </a:lnTo>
                            <a:lnTo>
                              <a:pt x="9128" y="0"/>
                            </a:lnTo>
                            <a:lnTo>
                              <a:pt x="0" y="0"/>
                            </a:lnTo>
                            <a:lnTo>
                              <a:pt x="0" y="9"/>
                            </a:lnTo>
                            <a:close/>
                          </a:path>
                        </a:pathLst>
                      </a:custGeom>
                      <a:solidFill>
                        <a:srgbClr val="000000"/>
                      </a:solidFill>
                      <a:ln>
                        <a:noFill/>
                      </a:ln>
                    </wps:spPr>
                    <wps:bodyPr upright="1"/>
                  </wps:wsp>
                </a:graphicData>
              </a:graphic>
            </wp:anchor>
          </w:drawing>
        </mc:Choice>
        <mc:Fallback>
          <w:pict>
            <v:shape id="_x0000_s1026" o:spid="_x0000_s1026" o:spt="100" style="position:absolute;left:0pt;margin-left:69.5pt;margin-top:57.2pt;height:0.5pt;width:456.45pt;mso-position-horizontal-relative:page;mso-position-vertical-relative:page;z-index:251669504;mso-width-relative:page;mso-height-relative:page;" fillcolor="#000000" filled="t" stroked="f" coordsize="9129,10" o:allowincell="f" o:gfxdata="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Nngm/vXAAAADAEAAA8A&#10;AAAAAAAAAQAgAAAAIgAAAGRycy9kb3ducmV2LnhtbFBLAQIUABQAAAAIAIdO4kBi0L6yGAIAAHsE&#10;AAAOAAAAAAAAAAEAIAAAACYBAABkcnMvZTJvRG9jLnhtbFBLBQYAAAAABgAGAFkBAACwBQAAAAA=&#10;" path="m0,9l9128,9,9128,0,0,0,0,9xe">
              <v:fill on="t" focussize="0,0"/>
              <v:stroke on="f"/>
              <v:imagedata o:title=""/>
              <o:lock v:ext="edit" aspectratio="f"/>
            </v:shape>
          </w:pict>
        </mc:Fallback>
      </mc:AlternateContent>
    </w:r>
    <w:r>
      <w:rPr>
        <w:rFonts w:ascii="仿宋" w:hAnsi="仿宋" w:eastAsia="仿宋" w:cs="仿宋"/>
        <w:spacing w:val="-5"/>
        <w:sz w:val="21"/>
        <w:szCs w:val="21"/>
      </w:rPr>
      <w:t>2</w:t>
    </w:r>
    <w:r>
      <w:rPr>
        <w:rFonts w:ascii="仿宋" w:hAnsi="仿宋" w:eastAsia="仿宋" w:cs="仿宋"/>
        <w:spacing w:val="17"/>
        <w:sz w:val="21"/>
        <w:szCs w:val="21"/>
      </w:rPr>
      <w:t xml:space="preserve"> </w:t>
    </w:r>
    <w:r>
      <w:rPr>
        <w:rFonts w:ascii="仿宋" w:hAnsi="仿宋" w:eastAsia="仿宋" w:cs="仿宋"/>
        <w:spacing w:val="-5"/>
        <w:sz w:val="21"/>
        <w:szCs w:val="21"/>
      </w:rPr>
      <w:t>项目概况</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3AA048">
    <w:pPr>
      <w:pStyle w:val="17"/>
      <w:pBdr>
        <w:bottom w:val="double" w:color="auto" w:sz="8" w:space="1"/>
      </w:pBdr>
      <w:spacing w:line="240" w:lineRule="auto"/>
      <w:ind w:firstLine="0" w:firstLineChars="0"/>
      <w:rPr>
        <w:rFonts w:hint="default" w:eastAsia="仿宋_GB2312"/>
        <w:lang w:val="en-US" w:eastAsia="zh-CN"/>
      </w:rPr>
    </w:pPr>
    <w:r>
      <w:rPr>
        <w:rFonts w:hint="eastAsia"/>
        <w:lang w:val="en-US" w:eastAsia="zh-CN"/>
      </w:rPr>
      <w:t>项目水土保持评价</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0BBC32">
    <w:pPr>
      <w:pStyle w:val="17"/>
      <w:pBdr>
        <w:bottom w:val="double" w:color="auto" w:sz="8" w:space="1"/>
      </w:pBdr>
      <w:spacing w:line="240" w:lineRule="auto"/>
      <w:ind w:firstLine="0" w:firstLineChars="0"/>
      <w:rPr>
        <w:rFonts w:hint="default" w:eastAsia="仿宋_GB2312"/>
        <w:lang w:val="en-US" w:eastAsia="zh-CN"/>
      </w:rPr>
    </w:pPr>
    <w:r>
      <w:rPr>
        <w:rFonts w:hint="eastAsia"/>
        <w:lang w:val="en-US" w:eastAsia="zh-CN"/>
      </w:rPr>
      <w:t>水土流失分析与预测</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40B29F">
    <w:pPr>
      <w:pStyle w:val="17"/>
      <w:pBdr>
        <w:bottom w:val="double" w:color="auto" w:sz="8" w:space="1"/>
      </w:pBdr>
      <w:spacing w:line="240" w:lineRule="auto"/>
      <w:ind w:firstLine="0" w:firstLineChars="0"/>
      <w:rPr>
        <w:rFonts w:hint="eastAsia" w:eastAsia="仿宋_GB2312"/>
        <w:lang w:eastAsia="zh-CN"/>
      </w:rPr>
    </w:pPr>
    <w:r>
      <w:rPr>
        <w:rFonts w:hint="eastAsia"/>
      </w:rPr>
      <w:t>水土保持</w:t>
    </w:r>
    <w:r>
      <w:rPr>
        <w:rFonts w:hint="eastAsia"/>
        <w:lang w:val="en-US" w:eastAsia="zh-CN"/>
      </w:rPr>
      <w:t>措施</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5FF099">
    <w:pPr>
      <w:pStyle w:val="17"/>
      <w:pBdr>
        <w:bottom w:val="double" w:color="auto" w:sz="8" w:space="1"/>
      </w:pBdr>
      <w:spacing w:line="240" w:lineRule="auto"/>
      <w:ind w:firstLine="0" w:firstLineChars="0"/>
      <w:rPr>
        <w:rFonts w:hint="eastAsia" w:eastAsia="仿宋_GB2312"/>
        <w:lang w:eastAsia="zh-CN"/>
      </w:rPr>
    </w:pPr>
    <w:r>
      <w:rPr>
        <w:rFonts w:hint="eastAsia"/>
      </w:rPr>
      <w:t>水土保持</w:t>
    </w:r>
    <w:r>
      <w:rPr>
        <w:rFonts w:hint="eastAsia"/>
        <w:lang w:val="en-US" w:eastAsia="zh-CN"/>
      </w:rPr>
      <w:t>监测</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4AE1E2">
    <w:pPr>
      <w:pStyle w:val="17"/>
      <w:pBdr>
        <w:bottom w:val="double" w:color="auto" w:sz="8" w:space="1"/>
      </w:pBdr>
      <w:spacing w:line="240" w:lineRule="auto"/>
      <w:ind w:firstLine="0" w:firstLineChars="0"/>
    </w:pPr>
    <w:r>
      <w:rPr>
        <w:rFonts w:hint="eastAsia"/>
      </w:rPr>
      <w:t>水土保持投资</w:t>
    </w:r>
    <w:r>
      <w:rPr>
        <w:rFonts w:hint="eastAsia"/>
        <w:lang w:eastAsia="zh-CN"/>
      </w:rPr>
      <w:t>概算</w:t>
    </w:r>
    <w:r>
      <w:rPr>
        <w:rFonts w:hint="eastAsia"/>
      </w:rPr>
      <w:t>及效益分析</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D7C530">
    <w:pPr>
      <w:pStyle w:val="17"/>
      <w:pBdr>
        <w:bottom w:val="double" w:color="auto" w:sz="8" w:space="1"/>
      </w:pBdr>
      <w:spacing w:line="240" w:lineRule="auto"/>
      <w:ind w:firstLine="0" w:firstLineChars="0"/>
      <w:rPr>
        <w:rFonts w:hint="default" w:eastAsia="仿宋_GB2312"/>
        <w:lang w:val="en-US" w:eastAsia="zh-CN"/>
      </w:rPr>
    </w:pPr>
    <w:r>
      <w:rPr>
        <w:rFonts w:hint="eastAsia"/>
        <w:lang w:val="en-US" w:eastAsia="zh-CN"/>
      </w:rPr>
      <w:t>水土保持管理</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AEB5EAE"/>
    <w:multiLevelType w:val="singleLevel"/>
    <w:tmpl w:val="9AEB5EAE"/>
    <w:lvl w:ilvl="0" w:tentative="0">
      <w:start w:val="1"/>
      <w:numFmt w:val="decimal"/>
      <w:suff w:val="nothing"/>
      <w:lvlText w:val="（%1）"/>
      <w:lvlJc w:val="left"/>
    </w:lvl>
  </w:abstractNum>
  <w:abstractNum w:abstractNumId="1">
    <w:nsid w:val="9F50F9BC"/>
    <w:multiLevelType w:val="singleLevel"/>
    <w:tmpl w:val="9F50F9BC"/>
    <w:lvl w:ilvl="0" w:tentative="0">
      <w:start w:val="1"/>
      <w:numFmt w:val="decimal"/>
      <w:lvlText w:val="%1)"/>
      <w:lvlJc w:val="left"/>
      <w:pPr>
        <w:ind w:left="425" w:hanging="425"/>
      </w:pPr>
      <w:rPr>
        <w:rFonts w:hint="default"/>
      </w:rPr>
    </w:lvl>
  </w:abstractNum>
  <w:abstractNum w:abstractNumId="2">
    <w:nsid w:val="A99D83A9"/>
    <w:multiLevelType w:val="singleLevel"/>
    <w:tmpl w:val="A99D83A9"/>
    <w:lvl w:ilvl="0" w:tentative="0">
      <w:start w:val="1"/>
      <w:numFmt w:val="decimalEnclosedCircleChinese"/>
      <w:suff w:val="nothing"/>
      <w:lvlText w:val="%1　"/>
      <w:lvlJc w:val="left"/>
      <w:pPr>
        <w:ind w:left="0" w:firstLine="400"/>
      </w:pPr>
      <w:rPr>
        <w:rFonts w:hint="eastAsia"/>
      </w:rPr>
    </w:lvl>
  </w:abstractNum>
  <w:abstractNum w:abstractNumId="3">
    <w:nsid w:val="D04C8D3A"/>
    <w:multiLevelType w:val="singleLevel"/>
    <w:tmpl w:val="D04C8D3A"/>
    <w:lvl w:ilvl="0" w:tentative="0">
      <w:start w:val="4"/>
      <w:numFmt w:val="decimal"/>
      <w:suff w:val="nothing"/>
      <w:lvlText w:val="（%1）"/>
      <w:lvlJc w:val="left"/>
    </w:lvl>
  </w:abstractNum>
  <w:abstractNum w:abstractNumId="4">
    <w:nsid w:val="D6F584EE"/>
    <w:multiLevelType w:val="singleLevel"/>
    <w:tmpl w:val="D6F584EE"/>
    <w:lvl w:ilvl="0" w:tentative="0">
      <w:start w:val="1"/>
      <w:numFmt w:val="decimal"/>
      <w:lvlText w:val="(%1)"/>
      <w:lvlJc w:val="left"/>
      <w:pPr>
        <w:ind w:left="425" w:hanging="425"/>
      </w:pPr>
      <w:rPr>
        <w:rFonts w:hint="default"/>
      </w:rPr>
    </w:lvl>
  </w:abstractNum>
  <w:abstractNum w:abstractNumId="5">
    <w:nsid w:val="DDBE67CC"/>
    <w:multiLevelType w:val="singleLevel"/>
    <w:tmpl w:val="DDBE67CC"/>
    <w:lvl w:ilvl="0" w:tentative="0">
      <w:start w:val="1"/>
      <w:numFmt w:val="decimal"/>
      <w:lvlText w:val="%1)"/>
      <w:lvlJc w:val="left"/>
      <w:pPr>
        <w:ind w:left="425" w:hanging="425"/>
      </w:pPr>
      <w:rPr>
        <w:rFonts w:hint="default"/>
      </w:rPr>
    </w:lvl>
  </w:abstractNum>
  <w:abstractNum w:abstractNumId="6">
    <w:nsid w:val="ED591173"/>
    <w:multiLevelType w:val="singleLevel"/>
    <w:tmpl w:val="ED591173"/>
    <w:lvl w:ilvl="0" w:tentative="0">
      <w:start w:val="1"/>
      <w:numFmt w:val="decimal"/>
      <w:lvlText w:val="(%1)"/>
      <w:lvlJc w:val="left"/>
      <w:pPr>
        <w:ind w:left="425" w:hanging="425"/>
      </w:pPr>
      <w:rPr>
        <w:rFonts w:hint="default"/>
      </w:rPr>
    </w:lvl>
  </w:abstractNum>
  <w:abstractNum w:abstractNumId="7">
    <w:nsid w:val="08614885"/>
    <w:multiLevelType w:val="singleLevel"/>
    <w:tmpl w:val="08614885"/>
    <w:lvl w:ilvl="0" w:tentative="0">
      <w:start w:val="1"/>
      <w:numFmt w:val="decimal"/>
      <w:lvlText w:val="(%1)"/>
      <w:lvlJc w:val="left"/>
      <w:pPr>
        <w:ind w:left="425" w:hanging="425"/>
      </w:pPr>
      <w:rPr>
        <w:rFonts w:hint="default"/>
      </w:rPr>
    </w:lvl>
  </w:abstractNum>
  <w:abstractNum w:abstractNumId="8">
    <w:nsid w:val="13990A2B"/>
    <w:multiLevelType w:val="multilevel"/>
    <w:tmpl w:val="13990A2B"/>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9">
    <w:nsid w:val="14463591"/>
    <w:multiLevelType w:val="singleLevel"/>
    <w:tmpl w:val="14463591"/>
    <w:lvl w:ilvl="0" w:tentative="0">
      <w:start w:val="1"/>
      <w:numFmt w:val="decimal"/>
      <w:suff w:val="nothing"/>
      <w:lvlText w:val="%1、"/>
      <w:lvlJc w:val="left"/>
    </w:lvl>
  </w:abstractNum>
  <w:abstractNum w:abstractNumId="10">
    <w:nsid w:val="15116A8E"/>
    <w:multiLevelType w:val="singleLevel"/>
    <w:tmpl w:val="15116A8E"/>
    <w:lvl w:ilvl="0" w:tentative="0">
      <w:start w:val="1"/>
      <w:numFmt w:val="decimal"/>
      <w:suff w:val="nothing"/>
      <w:lvlText w:val="(%1)"/>
      <w:lvlJc w:val="left"/>
      <w:pPr>
        <w:tabs>
          <w:tab w:val="left" w:pos="0"/>
        </w:tabs>
        <w:ind w:left="630" w:hanging="590"/>
      </w:pPr>
      <w:rPr>
        <w:rFonts w:hint="default"/>
      </w:rPr>
    </w:lvl>
  </w:abstractNum>
  <w:abstractNum w:abstractNumId="11">
    <w:nsid w:val="30F85369"/>
    <w:multiLevelType w:val="multilevel"/>
    <w:tmpl w:val="30F85369"/>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2">
    <w:nsid w:val="3A672950"/>
    <w:multiLevelType w:val="singleLevel"/>
    <w:tmpl w:val="3A672950"/>
    <w:lvl w:ilvl="0" w:tentative="0">
      <w:start w:val="1"/>
      <w:numFmt w:val="decimal"/>
      <w:suff w:val="nothing"/>
      <w:lvlText w:val="（%1）"/>
      <w:lvlJc w:val="left"/>
    </w:lvl>
  </w:abstractNum>
  <w:abstractNum w:abstractNumId="13">
    <w:nsid w:val="400CA7B2"/>
    <w:multiLevelType w:val="singleLevel"/>
    <w:tmpl w:val="400CA7B2"/>
    <w:lvl w:ilvl="0" w:tentative="0">
      <w:start w:val="1"/>
      <w:numFmt w:val="decimal"/>
      <w:lvlText w:val="(%1)"/>
      <w:lvlJc w:val="left"/>
      <w:pPr>
        <w:ind w:left="425" w:hanging="425"/>
      </w:pPr>
      <w:rPr>
        <w:rFonts w:hint="default"/>
      </w:rPr>
    </w:lvl>
  </w:abstractNum>
  <w:abstractNum w:abstractNumId="14">
    <w:nsid w:val="403F6CFD"/>
    <w:multiLevelType w:val="multilevel"/>
    <w:tmpl w:val="403F6CFD"/>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4352157F"/>
    <w:multiLevelType w:val="singleLevel"/>
    <w:tmpl w:val="4352157F"/>
    <w:lvl w:ilvl="0" w:tentative="0">
      <w:start w:val="1"/>
      <w:numFmt w:val="decimal"/>
      <w:suff w:val="nothing"/>
      <w:lvlText w:val="（%1）"/>
      <w:lvlJc w:val="left"/>
    </w:lvl>
  </w:abstractNum>
  <w:abstractNum w:abstractNumId="16">
    <w:nsid w:val="514B7D6F"/>
    <w:multiLevelType w:val="multilevel"/>
    <w:tmpl w:val="514B7D6F"/>
    <w:lvl w:ilvl="0" w:tentative="0">
      <w:start w:val="1"/>
      <w:numFmt w:val="decimalEnclosedCircle"/>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7">
    <w:nsid w:val="55E4104A"/>
    <w:multiLevelType w:val="singleLevel"/>
    <w:tmpl w:val="55E4104A"/>
    <w:lvl w:ilvl="0" w:tentative="0">
      <w:start w:val="1"/>
      <w:numFmt w:val="decimal"/>
      <w:suff w:val="space"/>
      <w:lvlText w:val="(%1)"/>
      <w:lvlJc w:val="left"/>
    </w:lvl>
  </w:abstractNum>
  <w:abstractNum w:abstractNumId="18">
    <w:nsid w:val="646302F7"/>
    <w:multiLevelType w:val="multilevel"/>
    <w:tmpl w:val="646302F7"/>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9">
    <w:nsid w:val="6FDF170E"/>
    <w:multiLevelType w:val="multilevel"/>
    <w:tmpl w:val="6FDF170E"/>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0">
    <w:nsid w:val="7A1CF1F0"/>
    <w:multiLevelType w:val="multilevel"/>
    <w:tmpl w:val="7A1CF1F0"/>
    <w:lvl w:ilvl="0" w:tentative="0">
      <w:start w:val="1"/>
      <w:numFmt w:val="decimal"/>
      <w:suff w:val="space"/>
      <w:lvlText w:val="%1"/>
      <w:lvlJc w:val="left"/>
      <w:pPr>
        <w:ind w:left="0" w:firstLine="0"/>
      </w:pPr>
      <w:rPr>
        <w:rFonts w:hint="default"/>
      </w:rPr>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21">
    <w:nsid w:val="7A334388"/>
    <w:multiLevelType w:val="multilevel"/>
    <w:tmpl w:val="7A334388"/>
    <w:lvl w:ilvl="0" w:tentative="0">
      <w:start w:val="1"/>
      <w:numFmt w:val="decimal"/>
      <w:lvlText w:val="(%1)"/>
      <w:lvlJc w:val="left"/>
      <w:pPr>
        <w:ind w:left="846"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2">
    <w:nsid w:val="7DDAD5D1"/>
    <w:multiLevelType w:val="singleLevel"/>
    <w:tmpl w:val="7DDAD5D1"/>
    <w:lvl w:ilvl="0" w:tentative="0">
      <w:start w:val="1"/>
      <w:numFmt w:val="decimal"/>
      <w:suff w:val="nothing"/>
      <w:lvlText w:val="%1）"/>
      <w:lvlJc w:val="left"/>
    </w:lvl>
  </w:abstractNum>
  <w:abstractNum w:abstractNumId="23">
    <w:nsid w:val="7E985D2E"/>
    <w:multiLevelType w:val="multilevel"/>
    <w:tmpl w:val="7E985D2E"/>
    <w:lvl w:ilvl="0" w:tentative="0">
      <w:start w:val="1"/>
      <w:numFmt w:val="decimal"/>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20"/>
  </w:num>
  <w:num w:numId="2">
    <w:abstractNumId w:val="9"/>
  </w:num>
  <w:num w:numId="3">
    <w:abstractNumId w:val="10"/>
  </w:num>
  <w:num w:numId="4">
    <w:abstractNumId w:val="17"/>
  </w:num>
  <w:num w:numId="5">
    <w:abstractNumId w:val="13"/>
  </w:num>
  <w:num w:numId="6">
    <w:abstractNumId w:val="0"/>
  </w:num>
  <w:num w:numId="7">
    <w:abstractNumId w:val="3"/>
  </w:num>
  <w:num w:numId="8">
    <w:abstractNumId w:val="22"/>
  </w:num>
  <w:num w:numId="9">
    <w:abstractNumId w:val="18"/>
  </w:num>
  <w:num w:numId="10">
    <w:abstractNumId w:val="15"/>
  </w:num>
  <w:num w:numId="11">
    <w:abstractNumId w:val="12"/>
  </w:num>
  <w:num w:numId="12">
    <w:abstractNumId w:val="6"/>
  </w:num>
  <w:num w:numId="13">
    <w:abstractNumId w:val="2"/>
  </w:num>
  <w:num w:numId="14">
    <w:abstractNumId w:val="23"/>
  </w:num>
  <w:num w:numId="15">
    <w:abstractNumId w:val="1"/>
  </w:num>
  <w:num w:numId="16">
    <w:abstractNumId w:val="21"/>
  </w:num>
  <w:num w:numId="17">
    <w:abstractNumId w:val="4"/>
  </w:num>
  <w:num w:numId="18">
    <w:abstractNumId w:val="5"/>
  </w:num>
  <w:num w:numId="19">
    <w:abstractNumId w:val="14"/>
  </w:num>
  <w:num w:numId="20">
    <w:abstractNumId w:val="8"/>
  </w:num>
  <w:num w:numId="21">
    <w:abstractNumId w:val="7"/>
  </w:num>
  <w:num w:numId="22">
    <w:abstractNumId w:val="16"/>
  </w:num>
  <w:num w:numId="23">
    <w:abstractNumId w:val="19"/>
  </w:num>
  <w:num w:numId="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hideSpellingErrors/>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RjYWY3MTlhZjUzNThkZDIzZGYyOGQzYWM4MDI4OWYifQ=="/>
  </w:docVars>
  <w:rsids>
    <w:rsidRoot w:val="00172A27"/>
    <w:rsid w:val="00001E93"/>
    <w:rsid w:val="00012CB8"/>
    <w:rsid w:val="000413AD"/>
    <w:rsid w:val="0007501B"/>
    <w:rsid w:val="000A3EEF"/>
    <w:rsid w:val="00110B99"/>
    <w:rsid w:val="00172A27"/>
    <w:rsid w:val="001D5632"/>
    <w:rsid w:val="002354A8"/>
    <w:rsid w:val="003113F3"/>
    <w:rsid w:val="00350CE5"/>
    <w:rsid w:val="00356A41"/>
    <w:rsid w:val="00381FD5"/>
    <w:rsid w:val="0039569E"/>
    <w:rsid w:val="003C7C1F"/>
    <w:rsid w:val="003D750A"/>
    <w:rsid w:val="00414640"/>
    <w:rsid w:val="004625D2"/>
    <w:rsid w:val="004C3E82"/>
    <w:rsid w:val="004F7320"/>
    <w:rsid w:val="005266E4"/>
    <w:rsid w:val="005331B8"/>
    <w:rsid w:val="005B1021"/>
    <w:rsid w:val="005C79F8"/>
    <w:rsid w:val="005E6F87"/>
    <w:rsid w:val="0062776A"/>
    <w:rsid w:val="006320C4"/>
    <w:rsid w:val="006344E8"/>
    <w:rsid w:val="006E713C"/>
    <w:rsid w:val="0071454C"/>
    <w:rsid w:val="007661CE"/>
    <w:rsid w:val="0077086C"/>
    <w:rsid w:val="007B74E4"/>
    <w:rsid w:val="007E7FC6"/>
    <w:rsid w:val="00825A11"/>
    <w:rsid w:val="008E093A"/>
    <w:rsid w:val="00924748"/>
    <w:rsid w:val="00AA5E87"/>
    <w:rsid w:val="00AB6D07"/>
    <w:rsid w:val="00B01A38"/>
    <w:rsid w:val="00B11D77"/>
    <w:rsid w:val="00B46725"/>
    <w:rsid w:val="00B54928"/>
    <w:rsid w:val="00B953E5"/>
    <w:rsid w:val="00BE2AD8"/>
    <w:rsid w:val="00BF7545"/>
    <w:rsid w:val="00C1722C"/>
    <w:rsid w:val="00CC1E88"/>
    <w:rsid w:val="00CE387B"/>
    <w:rsid w:val="00D01100"/>
    <w:rsid w:val="00D369AC"/>
    <w:rsid w:val="00D44ADC"/>
    <w:rsid w:val="00D530F7"/>
    <w:rsid w:val="00DB3872"/>
    <w:rsid w:val="00E00BF5"/>
    <w:rsid w:val="00E50242"/>
    <w:rsid w:val="00E5521B"/>
    <w:rsid w:val="00E9046C"/>
    <w:rsid w:val="00EA511E"/>
    <w:rsid w:val="00F6131C"/>
    <w:rsid w:val="010A1249"/>
    <w:rsid w:val="0118560D"/>
    <w:rsid w:val="01242CD9"/>
    <w:rsid w:val="015030E7"/>
    <w:rsid w:val="01614B04"/>
    <w:rsid w:val="01620589"/>
    <w:rsid w:val="01620905"/>
    <w:rsid w:val="0162748A"/>
    <w:rsid w:val="01653CDB"/>
    <w:rsid w:val="01777DF3"/>
    <w:rsid w:val="01844657"/>
    <w:rsid w:val="01942660"/>
    <w:rsid w:val="01B84906"/>
    <w:rsid w:val="01BB541D"/>
    <w:rsid w:val="01BC5FE7"/>
    <w:rsid w:val="01F94F63"/>
    <w:rsid w:val="020A492A"/>
    <w:rsid w:val="021D4FC0"/>
    <w:rsid w:val="02265C44"/>
    <w:rsid w:val="02296E6D"/>
    <w:rsid w:val="022B08FB"/>
    <w:rsid w:val="0233203C"/>
    <w:rsid w:val="0237500E"/>
    <w:rsid w:val="02406933"/>
    <w:rsid w:val="026C5A18"/>
    <w:rsid w:val="02861382"/>
    <w:rsid w:val="02922EBB"/>
    <w:rsid w:val="02980763"/>
    <w:rsid w:val="03007507"/>
    <w:rsid w:val="03045E06"/>
    <w:rsid w:val="0325647E"/>
    <w:rsid w:val="03591DB6"/>
    <w:rsid w:val="035C7CA2"/>
    <w:rsid w:val="0367226E"/>
    <w:rsid w:val="036B6B73"/>
    <w:rsid w:val="036C6E20"/>
    <w:rsid w:val="037D1E28"/>
    <w:rsid w:val="037E320E"/>
    <w:rsid w:val="03A639D9"/>
    <w:rsid w:val="03A649C2"/>
    <w:rsid w:val="03E07B6A"/>
    <w:rsid w:val="03E51087"/>
    <w:rsid w:val="03F53D97"/>
    <w:rsid w:val="03FD457D"/>
    <w:rsid w:val="04055E30"/>
    <w:rsid w:val="04091800"/>
    <w:rsid w:val="04372145"/>
    <w:rsid w:val="0441672E"/>
    <w:rsid w:val="046955D1"/>
    <w:rsid w:val="046C20C8"/>
    <w:rsid w:val="046C748C"/>
    <w:rsid w:val="048D3D23"/>
    <w:rsid w:val="04910F1E"/>
    <w:rsid w:val="049E462B"/>
    <w:rsid w:val="04AF38A2"/>
    <w:rsid w:val="04BA0EC4"/>
    <w:rsid w:val="04BD1311"/>
    <w:rsid w:val="04D828F7"/>
    <w:rsid w:val="04F87867"/>
    <w:rsid w:val="050954D1"/>
    <w:rsid w:val="050D6AAA"/>
    <w:rsid w:val="05143B71"/>
    <w:rsid w:val="053C512E"/>
    <w:rsid w:val="055A63D2"/>
    <w:rsid w:val="056C319E"/>
    <w:rsid w:val="056E0390"/>
    <w:rsid w:val="05906989"/>
    <w:rsid w:val="059D65CA"/>
    <w:rsid w:val="05A746DA"/>
    <w:rsid w:val="05A77455"/>
    <w:rsid w:val="05AA6993"/>
    <w:rsid w:val="05AC3682"/>
    <w:rsid w:val="05B564DE"/>
    <w:rsid w:val="05B9778C"/>
    <w:rsid w:val="05CC0260"/>
    <w:rsid w:val="05CC59A1"/>
    <w:rsid w:val="05CD5F87"/>
    <w:rsid w:val="05D06810"/>
    <w:rsid w:val="05F9551F"/>
    <w:rsid w:val="062A4B5E"/>
    <w:rsid w:val="06475BB6"/>
    <w:rsid w:val="064774F0"/>
    <w:rsid w:val="0648714A"/>
    <w:rsid w:val="0656788B"/>
    <w:rsid w:val="068937A7"/>
    <w:rsid w:val="068D7E24"/>
    <w:rsid w:val="069A196C"/>
    <w:rsid w:val="06AF6DFF"/>
    <w:rsid w:val="06CC1692"/>
    <w:rsid w:val="06D575E9"/>
    <w:rsid w:val="06D71F89"/>
    <w:rsid w:val="06DE1E68"/>
    <w:rsid w:val="06E7725D"/>
    <w:rsid w:val="070514EF"/>
    <w:rsid w:val="07105452"/>
    <w:rsid w:val="07197CEF"/>
    <w:rsid w:val="07225FC9"/>
    <w:rsid w:val="0723389D"/>
    <w:rsid w:val="073F1755"/>
    <w:rsid w:val="0756174F"/>
    <w:rsid w:val="0797745B"/>
    <w:rsid w:val="07A16B24"/>
    <w:rsid w:val="07B27E92"/>
    <w:rsid w:val="07C80EFB"/>
    <w:rsid w:val="07CB01C8"/>
    <w:rsid w:val="07DB594A"/>
    <w:rsid w:val="07DE1A67"/>
    <w:rsid w:val="07E929C0"/>
    <w:rsid w:val="07EC4AB5"/>
    <w:rsid w:val="07F6578B"/>
    <w:rsid w:val="07FC1E07"/>
    <w:rsid w:val="080343E8"/>
    <w:rsid w:val="082A160E"/>
    <w:rsid w:val="082B6000"/>
    <w:rsid w:val="0847312B"/>
    <w:rsid w:val="08605AD0"/>
    <w:rsid w:val="08627D97"/>
    <w:rsid w:val="087D4A8B"/>
    <w:rsid w:val="08936686"/>
    <w:rsid w:val="08A1758D"/>
    <w:rsid w:val="08B2790D"/>
    <w:rsid w:val="08BF6FE6"/>
    <w:rsid w:val="08D2006A"/>
    <w:rsid w:val="08F47499"/>
    <w:rsid w:val="08FF12B1"/>
    <w:rsid w:val="09066743"/>
    <w:rsid w:val="093C2E58"/>
    <w:rsid w:val="093F0731"/>
    <w:rsid w:val="094A1A0D"/>
    <w:rsid w:val="096937BB"/>
    <w:rsid w:val="096970D5"/>
    <w:rsid w:val="096D29F8"/>
    <w:rsid w:val="098520A8"/>
    <w:rsid w:val="09875DE0"/>
    <w:rsid w:val="09937B9A"/>
    <w:rsid w:val="099505C4"/>
    <w:rsid w:val="09A462DF"/>
    <w:rsid w:val="09A80EDB"/>
    <w:rsid w:val="09AF32D3"/>
    <w:rsid w:val="09B01AD3"/>
    <w:rsid w:val="09C33A5D"/>
    <w:rsid w:val="0A1D52F5"/>
    <w:rsid w:val="0A1E0B40"/>
    <w:rsid w:val="0A40591E"/>
    <w:rsid w:val="0A48759F"/>
    <w:rsid w:val="0A570578"/>
    <w:rsid w:val="0A696AC2"/>
    <w:rsid w:val="0A6E48EC"/>
    <w:rsid w:val="0A795D7D"/>
    <w:rsid w:val="0A8D5B6A"/>
    <w:rsid w:val="0A9F553D"/>
    <w:rsid w:val="0AA5721B"/>
    <w:rsid w:val="0AB2510E"/>
    <w:rsid w:val="0AC77E53"/>
    <w:rsid w:val="0ACB5699"/>
    <w:rsid w:val="0AD27A6C"/>
    <w:rsid w:val="0AD451F1"/>
    <w:rsid w:val="0AE71665"/>
    <w:rsid w:val="0AEE1170"/>
    <w:rsid w:val="0AF76AE7"/>
    <w:rsid w:val="0B0568AE"/>
    <w:rsid w:val="0B102220"/>
    <w:rsid w:val="0B1D1BF4"/>
    <w:rsid w:val="0B3C0962"/>
    <w:rsid w:val="0B4E3236"/>
    <w:rsid w:val="0B5065D6"/>
    <w:rsid w:val="0B65240B"/>
    <w:rsid w:val="0B691B97"/>
    <w:rsid w:val="0B87056B"/>
    <w:rsid w:val="0B8F1261"/>
    <w:rsid w:val="0B9D5BCD"/>
    <w:rsid w:val="0B9F5B3B"/>
    <w:rsid w:val="0B9F6415"/>
    <w:rsid w:val="0BBC0B58"/>
    <w:rsid w:val="0BCB3E77"/>
    <w:rsid w:val="0BD45B02"/>
    <w:rsid w:val="0BEC1FC8"/>
    <w:rsid w:val="0BFD6714"/>
    <w:rsid w:val="0C103E9A"/>
    <w:rsid w:val="0C104C1F"/>
    <w:rsid w:val="0C181306"/>
    <w:rsid w:val="0C1D4B8C"/>
    <w:rsid w:val="0C4C6A79"/>
    <w:rsid w:val="0C4D0A23"/>
    <w:rsid w:val="0C5A0F2E"/>
    <w:rsid w:val="0C65754F"/>
    <w:rsid w:val="0C6E6318"/>
    <w:rsid w:val="0C7375A6"/>
    <w:rsid w:val="0C82335A"/>
    <w:rsid w:val="0C870D38"/>
    <w:rsid w:val="0C8974FD"/>
    <w:rsid w:val="0CA81FD8"/>
    <w:rsid w:val="0CAC7B7E"/>
    <w:rsid w:val="0CAF259E"/>
    <w:rsid w:val="0D01676C"/>
    <w:rsid w:val="0D481F5C"/>
    <w:rsid w:val="0D5707DA"/>
    <w:rsid w:val="0D64072B"/>
    <w:rsid w:val="0D6769EF"/>
    <w:rsid w:val="0D9851C1"/>
    <w:rsid w:val="0D9A27CC"/>
    <w:rsid w:val="0DA83B90"/>
    <w:rsid w:val="0DAE792A"/>
    <w:rsid w:val="0DBF308B"/>
    <w:rsid w:val="0DD95EDA"/>
    <w:rsid w:val="0E067156"/>
    <w:rsid w:val="0E082C97"/>
    <w:rsid w:val="0E136913"/>
    <w:rsid w:val="0E4F160B"/>
    <w:rsid w:val="0E6C0832"/>
    <w:rsid w:val="0E720A57"/>
    <w:rsid w:val="0E7465C0"/>
    <w:rsid w:val="0EB4474F"/>
    <w:rsid w:val="0EBD0991"/>
    <w:rsid w:val="0EDC552B"/>
    <w:rsid w:val="0EF3373D"/>
    <w:rsid w:val="0EF771E8"/>
    <w:rsid w:val="0EFB1BB6"/>
    <w:rsid w:val="0F0B7120"/>
    <w:rsid w:val="0F130FF0"/>
    <w:rsid w:val="0F155DD9"/>
    <w:rsid w:val="0F3B6457"/>
    <w:rsid w:val="0F6C4862"/>
    <w:rsid w:val="0F915584"/>
    <w:rsid w:val="0FA929D3"/>
    <w:rsid w:val="0FB03CAC"/>
    <w:rsid w:val="0FCA61AC"/>
    <w:rsid w:val="0FED1A02"/>
    <w:rsid w:val="0FF369B6"/>
    <w:rsid w:val="100130B0"/>
    <w:rsid w:val="1007088B"/>
    <w:rsid w:val="10085C29"/>
    <w:rsid w:val="1025542F"/>
    <w:rsid w:val="10280905"/>
    <w:rsid w:val="103A04BC"/>
    <w:rsid w:val="107A293A"/>
    <w:rsid w:val="107D49E1"/>
    <w:rsid w:val="108736D7"/>
    <w:rsid w:val="109F7130"/>
    <w:rsid w:val="10AD5132"/>
    <w:rsid w:val="10D05E74"/>
    <w:rsid w:val="10E536A4"/>
    <w:rsid w:val="10EB708A"/>
    <w:rsid w:val="10F1536C"/>
    <w:rsid w:val="10F93EA9"/>
    <w:rsid w:val="10FF7107"/>
    <w:rsid w:val="110F72B4"/>
    <w:rsid w:val="11111385"/>
    <w:rsid w:val="11154564"/>
    <w:rsid w:val="111649A8"/>
    <w:rsid w:val="11171C40"/>
    <w:rsid w:val="11230F18"/>
    <w:rsid w:val="11236033"/>
    <w:rsid w:val="11295661"/>
    <w:rsid w:val="11580854"/>
    <w:rsid w:val="1178661F"/>
    <w:rsid w:val="118432EE"/>
    <w:rsid w:val="119F3187"/>
    <w:rsid w:val="11A34FBF"/>
    <w:rsid w:val="11AB456E"/>
    <w:rsid w:val="11C46143"/>
    <w:rsid w:val="11CE7962"/>
    <w:rsid w:val="11D579C1"/>
    <w:rsid w:val="11D7307F"/>
    <w:rsid w:val="11E5221F"/>
    <w:rsid w:val="12057FCE"/>
    <w:rsid w:val="120C700F"/>
    <w:rsid w:val="121F70A5"/>
    <w:rsid w:val="123B724D"/>
    <w:rsid w:val="12443D09"/>
    <w:rsid w:val="1279388A"/>
    <w:rsid w:val="12796FE7"/>
    <w:rsid w:val="127A542A"/>
    <w:rsid w:val="127D7836"/>
    <w:rsid w:val="12803B93"/>
    <w:rsid w:val="128E5E12"/>
    <w:rsid w:val="12A2365F"/>
    <w:rsid w:val="12A456C1"/>
    <w:rsid w:val="12B8570B"/>
    <w:rsid w:val="12C20E96"/>
    <w:rsid w:val="12CC4F44"/>
    <w:rsid w:val="12D51BF8"/>
    <w:rsid w:val="12D97FBD"/>
    <w:rsid w:val="12F0319D"/>
    <w:rsid w:val="13116F55"/>
    <w:rsid w:val="13154742"/>
    <w:rsid w:val="131A71D0"/>
    <w:rsid w:val="131E3DE4"/>
    <w:rsid w:val="132B0530"/>
    <w:rsid w:val="13533D43"/>
    <w:rsid w:val="13B7188E"/>
    <w:rsid w:val="13CF6948"/>
    <w:rsid w:val="13D438C9"/>
    <w:rsid w:val="142C1EBF"/>
    <w:rsid w:val="144731A8"/>
    <w:rsid w:val="145F62C2"/>
    <w:rsid w:val="14611DB7"/>
    <w:rsid w:val="14914C3A"/>
    <w:rsid w:val="1492382C"/>
    <w:rsid w:val="14BE5BAB"/>
    <w:rsid w:val="14DB3A5F"/>
    <w:rsid w:val="14F60B22"/>
    <w:rsid w:val="14FA44AB"/>
    <w:rsid w:val="150E07C6"/>
    <w:rsid w:val="15131948"/>
    <w:rsid w:val="151C4634"/>
    <w:rsid w:val="15217D93"/>
    <w:rsid w:val="158D760E"/>
    <w:rsid w:val="15926370"/>
    <w:rsid w:val="159627D2"/>
    <w:rsid w:val="15994361"/>
    <w:rsid w:val="15A37D55"/>
    <w:rsid w:val="15A6621F"/>
    <w:rsid w:val="15AF5CC6"/>
    <w:rsid w:val="15F33B82"/>
    <w:rsid w:val="15F63E7E"/>
    <w:rsid w:val="1602433D"/>
    <w:rsid w:val="1611583B"/>
    <w:rsid w:val="16146309"/>
    <w:rsid w:val="16227239"/>
    <w:rsid w:val="162709FC"/>
    <w:rsid w:val="162D26C1"/>
    <w:rsid w:val="163A33B5"/>
    <w:rsid w:val="163E2AD9"/>
    <w:rsid w:val="164324FA"/>
    <w:rsid w:val="16473654"/>
    <w:rsid w:val="16490889"/>
    <w:rsid w:val="164E105F"/>
    <w:rsid w:val="165558B3"/>
    <w:rsid w:val="168234A6"/>
    <w:rsid w:val="16836235"/>
    <w:rsid w:val="168D57EA"/>
    <w:rsid w:val="169A0EAB"/>
    <w:rsid w:val="16BB2999"/>
    <w:rsid w:val="16C64020"/>
    <w:rsid w:val="16EA69C6"/>
    <w:rsid w:val="16F23F27"/>
    <w:rsid w:val="16FE5DDC"/>
    <w:rsid w:val="1706559C"/>
    <w:rsid w:val="170B7196"/>
    <w:rsid w:val="17144265"/>
    <w:rsid w:val="173D44A8"/>
    <w:rsid w:val="175878CF"/>
    <w:rsid w:val="175F61B6"/>
    <w:rsid w:val="176831F2"/>
    <w:rsid w:val="17713D7F"/>
    <w:rsid w:val="17BF190D"/>
    <w:rsid w:val="17E86D92"/>
    <w:rsid w:val="17F13B56"/>
    <w:rsid w:val="17FC07B7"/>
    <w:rsid w:val="18176AA4"/>
    <w:rsid w:val="18504FB9"/>
    <w:rsid w:val="1870480A"/>
    <w:rsid w:val="187714EF"/>
    <w:rsid w:val="18795784"/>
    <w:rsid w:val="187B3473"/>
    <w:rsid w:val="187D53EA"/>
    <w:rsid w:val="187F3FF7"/>
    <w:rsid w:val="18816AC4"/>
    <w:rsid w:val="18946812"/>
    <w:rsid w:val="18A87C73"/>
    <w:rsid w:val="18AB570A"/>
    <w:rsid w:val="18B52239"/>
    <w:rsid w:val="18BF7839"/>
    <w:rsid w:val="18CD5F3B"/>
    <w:rsid w:val="18ED4D6C"/>
    <w:rsid w:val="18FD7322"/>
    <w:rsid w:val="19103753"/>
    <w:rsid w:val="19300B25"/>
    <w:rsid w:val="19424B40"/>
    <w:rsid w:val="194C0384"/>
    <w:rsid w:val="1954174F"/>
    <w:rsid w:val="19650358"/>
    <w:rsid w:val="197B686C"/>
    <w:rsid w:val="19945130"/>
    <w:rsid w:val="19A31C7B"/>
    <w:rsid w:val="19A523A6"/>
    <w:rsid w:val="19C95BC4"/>
    <w:rsid w:val="19CC62D9"/>
    <w:rsid w:val="19CF6274"/>
    <w:rsid w:val="19F73A65"/>
    <w:rsid w:val="1A011F92"/>
    <w:rsid w:val="1A0724A5"/>
    <w:rsid w:val="1A155218"/>
    <w:rsid w:val="1A1F2EF3"/>
    <w:rsid w:val="1A351C2B"/>
    <w:rsid w:val="1A475CB0"/>
    <w:rsid w:val="1A5A1E8D"/>
    <w:rsid w:val="1A6C3968"/>
    <w:rsid w:val="1A7C5ACA"/>
    <w:rsid w:val="1A8744AB"/>
    <w:rsid w:val="1A983C49"/>
    <w:rsid w:val="1AA04930"/>
    <w:rsid w:val="1AA52A30"/>
    <w:rsid w:val="1AA70DE5"/>
    <w:rsid w:val="1AB37D03"/>
    <w:rsid w:val="1AE041D3"/>
    <w:rsid w:val="1AE22471"/>
    <w:rsid w:val="1AFE54E7"/>
    <w:rsid w:val="1B0D2CA9"/>
    <w:rsid w:val="1B223C01"/>
    <w:rsid w:val="1B4109BD"/>
    <w:rsid w:val="1B8E3C01"/>
    <w:rsid w:val="1B9E7B6E"/>
    <w:rsid w:val="1BB51E40"/>
    <w:rsid w:val="1BC62A55"/>
    <w:rsid w:val="1BCA0ECE"/>
    <w:rsid w:val="1BDE6382"/>
    <w:rsid w:val="1BE100DA"/>
    <w:rsid w:val="1BF144B6"/>
    <w:rsid w:val="1BFC35A0"/>
    <w:rsid w:val="1C0227D6"/>
    <w:rsid w:val="1C1C4F1A"/>
    <w:rsid w:val="1C5352AF"/>
    <w:rsid w:val="1C547AE1"/>
    <w:rsid w:val="1C7417E1"/>
    <w:rsid w:val="1C773EA3"/>
    <w:rsid w:val="1C7D2B22"/>
    <w:rsid w:val="1C966F2E"/>
    <w:rsid w:val="1CA20666"/>
    <w:rsid w:val="1CBB21AB"/>
    <w:rsid w:val="1CC33171"/>
    <w:rsid w:val="1CCC23A2"/>
    <w:rsid w:val="1CD4524E"/>
    <w:rsid w:val="1CD4753B"/>
    <w:rsid w:val="1CDA2C96"/>
    <w:rsid w:val="1CEC691F"/>
    <w:rsid w:val="1D09091C"/>
    <w:rsid w:val="1D0E0501"/>
    <w:rsid w:val="1D1F4663"/>
    <w:rsid w:val="1D246357"/>
    <w:rsid w:val="1D351166"/>
    <w:rsid w:val="1D3B2E39"/>
    <w:rsid w:val="1D4172D9"/>
    <w:rsid w:val="1D724C6C"/>
    <w:rsid w:val="1D730B1D"/>
    <w:rsid w:val="1D733EAC"/>
    <w:rsid w:val="1D8A207D"/>
    <w:rsid w:val="1D9161FD"/>
    <w:rsid w:val="1DA15A9E"/>
    <w:rsid w:val="1DA64640"/>
    <w:rsid w:val="1DAF0C7C"/>
    <w:rsid w:val="1DBF388D"/>
    <w:rsid w:val="1DC20F08"/>
    <w:rsid w:val="1DCB2C26"/>
    <w:rsid w:val="1DDA0EC8"/>
    <w:rsid w:val="1DE41497"/>
    <w:rsid w:val="1DEA14B8"/>
    <w:rsid w:val="1E065594"/>
    <w:rsid w:val="1E0E7357"/>
    <w:rsid w:val="1E282359"/>
    <w:rsid w:val="1E2B610D"/>
    <w:rsid w:val="1E345160"/>
    <w:rsid w:val="1E360C85"/>
    <w:rsid w:val="1E3670BC"/>
    <w:rsid w:val="1E3D16D4"/>
    <w:rsid w:val="1E4533DC"/>
    <w:rsid w:val="1E4D610B"/>
    <w:rsid w:val="1E7225A8"/>
    <w:rsid w:val="1E763007"/>
    <w:rsid w:val="1E853929"/>
    <w:rsid w:val="1E885182"/>
    <w:rsid w:val="1E922536"/>
    <w:rsid w:val="1EC05013"/>
    <w:rsid w:val="1EC6776A"/>
    <w:rsid w:val="1EC84CFE"/>
    <w:rsid w:val="1ECB4710"/>
    <w:rsid w:val="1ECF5161"/>
    <w:rsid w:val="1ED92F13"/>
    <w:rsid w:val="1EE32574"/>
    <w:rsid w:val="1EFB1BB0"/>
    <w:rsid w:val="1F5D3AB7"/>
    <w:rsid w:val="1F974794"/>
    <w:rsid w:val="1F9E60E1"/>
    <w:rsid w:val="1FC85DE6"/>
    <w:rsid w:val="1FCD5388"/>
    <w:rsid w:val="1FEB449D"/>
    <w:rsid w:val="20180412"/>
    <w:rsid w:val="203E7742"/>
    <w:rsid w:val="203F0D1B"/>
    <w:rsid w:val="20471015"/>
    <w:rsid w:val="204D518B"/>
    <w:rsid w:val="204F01C4"/>
    <w:rsid w:val="2059231D"/>
    <w:rsid w:val="205D44A8"/>
    <w:rsid w:val="206C1FF5"/>
    <w:rsid w:val="20750B74"/>
    <w:rsid w:val="207E2F86"/>
    <w:rsid w:val="20994EA2"/>
    <w:rsid w:val="20A8451A"/>
    <w:rsid w:val="20BE388B"/>
    <w:rsid w:val="20C91E65"/>
    <w:rsid w:val="20F2357B"/>
    <w:rsid w:val="20FC7E49"/>
    <w:rsid w:val="21054958"/>
    <w:rsid w:val="2105762B"/>
    <w:rsid w:val="21397EAA"/>
    <w:rsid w:val="213E76D8"/>
    <w:rsid w:val="21426AB9"/>
    <w:rsid w:val="217356F9"/>
    <w:rsid w:val="218D7198"/>
    <w:rsid w:val="21A82639"/>
    <w:rsid w:val="21B05F04"/>
    <w:rsid w:val="21C625DD"/>
    <w:rsid w:val="21C637E1"/>
    <w:rsid w:val="21DD729E"/>
    <w:rsid w:val="21F14FC5"/>
    <w:rsid w:val="21FF4061"/>
    <w:rsid w:val="22141199"/>
    <w:rsid w:val="222F2DAE"/>
    <w:rsid w:val="223831DB"/>
    <w:rsid w:val="226C457F"/>
    <w:rsid w:val="226C758E"/>
    <w:rsid w:val="227F5FF0"/>
    <w:rsid w:val="228A3954"/>
    <w:rsid w:val="22984B40"/>
    <w:rsid w:val="22991070"/>
    <w:rsid w:val="229E2896"/>
    <w:rsid w:val="22A74588"/>
    <w:rsid w:val="22A757E2"/>
    <w:rsid w:val="22CA1CF8"/>
    <w:rsid w:val="22E06CA1"/>
    <w:rsid w:val="22F71CC2"/>
    <w:rsid w:val="22F77A10"/>
    <w:rsid w:val="23057461"/>
    <w:rsid w:val="230817AD"/>
    <w:rsid w:val="23085ED7"/>
    <w:rsid w:val="23133013"/>
    <w:rsid w:val="231F30B4"/>
    <w:rsid w:val="23296D7D"/>
    <w:rsid w:val="235543DC"/>
    <w:rsid w:val="23565173"/>
    <w:rsid w:val="235D5182"/>
    <w:rsid w:val="2361562B"/>
    <w:rsid w:val="237533CE"/>
    <w:rsid w:val="23935D56"/>
    <w:rsid w:val="239C52BE"/>
    <w:rsid w:val="23A3668E"/>
    <w:rsid w:val="23A902DD"/>
    <w:rsid w:val="23AB11E2"/>
    <w:rsid w:val="23B448DE"/>
    <w:rsid w:val="23EA0E54"/>
    <w:rsid w:val="23EE0B3A"/>
    <w:rsid w:val="23FC188B"/>
    <w:rsid w:val="2401466E"/>
    <w:rsid w:val="241F7067"/>
    <w:rsid w:val="242F0287"/>
    <w:rsid w:val="243C4D7E"/>
    <w:rsid w:val="243D558A"/>
    <w:rsid w:val="245E5D56"/>
    <w:rsid w:val="246424CC"/>
    <w:rsid w:val="246432A0"/>
    <w:rsid w:val="24725CAF"/>
    <w:rsid w:val="247B6004"/>
    <w:rsid w:val="248D5B30"/>
    <w:rsid w:val="248E31CC"/>
    <w:rsid w:val="24940679"/>
    <w:rsid w:val="24AE1879"/>
    <w:rsid w:val="24BD373E"/>
    <w:rsid w:val="24DA39D8"/>
    <w:rsid w:val="24DD3F06"/>
    <w:rsid w:val="24F80E6B"/>
    <w:rsid w:val="250A75B0"/>
    <w:rsid w:val="251D7B21"/>
    <w:rsid w:val="25341EC5"/>
    <w:rsid w:val="254C2A0C"/>
    <w:rsid w:val="2555080D"/>
    <w:rsid w:val="2592399A"/>
    <w:rsid w:val="25947260"/>
    <w:rsid w:val="25A20B86"/>
    <w:rsid w:val="25C603D0"/>
    <w:rsid w:val="25CA2164"/>
    <w:rsid w:val="25E26479"/>
    <w:rsid w:val="26107185"/>
    <w:rsid w:val="26144C91"/>
    <w:rsid w:val="261945E9"/>
    <w:rsid w:val="26206FEE"/>
    <w:rsid w:val="264253AB"/>
    <w:rsid w:val="268C1774"/>
    <w:rsid w:val="269C7E12"/>
    <w:rsid w:val="26A175A5"/>
    <w:rsid w:val="26A76F29"/>
    <w:rsid w:val="26AE587A"/>
    <w:rsid w:val="26B171BF"/>
    <w:rsid w:val="26B24A2A"/>
    <w:rsid w:val="26B45625"/>
    <w:rsid w:val="26C2757C"/>
    <w:rsid w:val="26C52040"/>
    <w:rsid w:val="26C72D84"/>
    <w:rsid w:val="26F06AF2"/>
    <w:rsid w:val="26FD33DF"/>
    <w:rsid w:val="270F70CE"/>
    <w:rsid w:val="27246EEF"/>
    <w:rsid w:val="27262DB1"/>
    <w:rsid w:val="27387D15"/>
    <w:rsid w:val="274B2E8B"/>
    <w:rsid w:val="27597F2A"/>
    <w:rsid w:val="275A1BA2"/>
    <w:rsid w:val="27613CDC"/>
    <w:rsid w:val="27627F9C"/>
    <w:rsid w:val="276B009E"/>
    <w:rsid w:val="27A40BE5"/>
    <w:rsid w:val="27AE7C47"/>
    <w:rsid w:val="27BE6146"/>
    <w:rsid w:val="27C05ED0"/>
    <w:rsid w:val="27C54C1E"/>
    <w:rsid w:val="280B15A3"/>
    <w:rsid w:val="28147CC8"/>
    <w:rsid w:val="2817795A"/>
    <w:rsid w:val="28220269"/>
    <w:rsid w:val="28385EB7"/>
    <w:rsid w:val="283A2006"/>
    <w:rsid w:val="28482138"/>
    <w:rsid w:val="284E195C"/>
    <w:rsid w:val="28564FFB"/>
    <w:rsid w:val="2865452D"/>
    <w:rsid w:val="288B1FA6"/>
    <w:rsid w:val="28976CDD"/>
    <w:rsid w:val="28BC400F"/>
    <w:rsid w:val="28C878C3"/>
    <w:rsid w:val="28D95855"/>
    <w:rsid w:val="28E60D8A"/>
    <w:rsid w:val="28EA7B48"/>
    <w:rsid w:val="29057F65"/>
    <w:rsid w:val="29111349"/>
    <w:rsid w:val="292D6E14"/>
    <w:rsid w:val="295B2A67"/>
    <w:rsid w:val="29606773"/>
    <w:rsid w:val="2964306A"/>
    <w:rsid w:val="29694596"/>
    <w:rsid w:val="297749EA"/>
    <w:rsid w:val="299D51F3"/>
    <w:rsid w:val="299E12FA"/>
    <w:rsid w:val="29A14C03"/>
    <w:rsid w:val="29B11398"/>
    <w:rsid w:val="29B31761"/>
    <w:rsid w:val="29B37063"/>
    <w:rsid w:val="29B65049"/>
    <w:rsid w:val="29B8672F"/>
    <w:rsid w:val="29C56147"/>
    <w:rsid w:val="29CF7793"/>
    <w:rsid w:val="29D94CE8"/>
    <w:rsid w:val="29DB7138"/>
    <w:rsid w:val="29DD0C50"/>
    <w:rsid w:val="29E50DA3"/>
    <w:rsid w:val="29F81EAF"/>
    <w:rsid w:val="2A391927"/>
    <w:rsid w:val="2A3C6D99"/>
    <w:rsid w:val="2A3D4573"/>
    <w:rsid w:val="2A446B32"/>
    <w:rsid w:val="2A584C16"/>
    <w:rsid w:val="2A60174E"/>
    <w:rsid w:val="2A646363"/>
    <w:rsid w:val="2A69746E"/>
    <w:rsid w:val="2A6D42CA"/>
    <w:rsid w:val="2A6F01D7"/>
    <w:rsid w:val="2A781C2E"/>
    <w:rsid w:val="2A842608"/>
    <w:rsid w:val="2A9464B6"/>
    <w:rsid w:val="2AA95CF9"/>
    <w:rsid w:val="2AB0324E"/>
    <w:rsid w:val="2ABB6A08"/>
    <w:rsid w:val="2ACB6177"/>
    <w:rsid w:val="2ACB6DF0"/>
    <w:rsid w:val="2ADB07D3"/>
    <w:rsid w:val="2AF368B1"/>
    <w:rsid w:val="2AFA010F"/>
    <w:rsid w:val="2B1A558E"/>
    <w:rsid w:val="2B474136"/>
    <w:rsid w:val="2B7C75B3"/>
    <w:rsid w:val="2B834666"/>
    <w:rsid w:val="2B91506B"/>
    <w:rsid w:val="2B9355A8"/>
    <w:rsid w:val="2B94207A"/>
    <w:rsid w:val="2B987C8D"/>
    <w:rsid w:val="2B9C1197"/>
    <w:rsid w:val="2BA11D17"/>
    <w:rsid w:val="2BA12082"/>
    <w:rsid w:val="2BDE1E3F"/>
    <w:rsid w:val="2BEC4641"/>
    <w:rsid w:val="2BFD6B16"/>
    <w:rsid w:val="2C0B7F25"/>
    <w:rsid w:val="2C2E5CBB"/>
    <w:rsid w:val="2C3F063C"/>
    <w:rsid w:val="2C52092D"/>
    <w:rsid w:val="2C560475"/>
    <w:rsid w:val="2C590886"/>
    <w:rsid w:val="2C593C37"/>
    <w:rsid w:val="2C5C0F3E"/>
    <w:rsid w:val="2C7015DF"/>
    <w:rsid w:val="2C7635C6"/>
    <w:rsid w:val="2C770676"/>
    <w:rsid w:val="2C863D87"/>
    <w:rsid w:val="2C8C2B18"/>
    <w:rsid w:val="2C955622"/>
    <w:rsid w:val="2C994B71"/>
    <w:rsid w:val="2CA62CF5"/>
    <w:rsid w:val="2CB247E7"/>
    <w:rsid w:val="2CCB570E"/>
    <w:rsid w:val="2CD421BD"/>
    <w:rsid w:val="2CDD0177"/>
    <w:rsid w:val="2CDF228B"/>
    <w:rsid w:val="2CE37C3B"/>
    <w:rsid w:val="2CEE3344"/>
    <w:rsid w:val="2D145EC5"/>
    <w:rsid w:val="2D171DA8"/>
    <w:rsid w:val="2D1D004F"/>
    <w:rsid w:val="2D1D1C6D"/>
    <w:rsid w:val="2D40629B"/>
    <w:rsid w:val="2D481E29"/>
    <w:rsid w:val="2D486164"/>
    <w:rsid w:val="2D4A18E7"/>
    <w:rsid w:val="2D545895"/>
    <w:rsid w:val="2D9D0380"/>
    <w:rsid w:val="2DC87180"/>
    <w:rsid w:val="2DD1532D"/>
    <w:rsid w:val="2DDE07B9"/>
    <w:rsid w:val="2DE3787F"/>
    <w:rsid w:val="2DE74FC6"/>
    <w:rsid w:val="2DFD0914"/>
    <w:rsid w:val="2E0009F7"/>
    <w:rsid w:val="2E0C6AF6"/>
    <w:rsid w:val="2E174CAD"/>
    <w:rsid w:val="2E175696"/>
    <w:rsid w:val="2E3E74F9"/>
    <w:rsid w:val="2E411DC2"/>
    <w:rsid w:val="2E4B62CA"/>
    <w:rsid w:val="2E7442D8"/>
    <w:rsid w:val="2E7B3CDD"/>
    <w:rsid w:val="2E890CFA"/>
    <w:rsid w:val="2E9077CD"/>
    <w:rsid w:val="2E9D35D7"/>
    <w:rsid w:val="2EAA3ED1"/>
    <w:rsid w:val="2EAE45D8"/>
    <w:rsid w:val="2EAF6DFE"/>
    <w:rsid w:val="2EB31762"/>
    <w:rsid w:val="2EBB0B05"/>
    <w:rsid w:val="2EC81A1E"/>
    <w:rsid w:val="2EDD2995"/>
    <w:rsid w:val="2EE23C6D"/>
    <w:rsid w:val="2EEA6A9A"/>
    <w:rsid w:val="2EFE3177"/>
    <w:rsid w:val="2F352F38"/>
    <w:rsid w:val="2F4033C5"/>
    <w:rsid w:val="2F424F28"/>
    <w:rsid w:val="2F4F30DB"/>
    <w:rsid w:val="2F50316D"/>
    <w:rsid w:val="2F527179"/>
    <w:rsid w:val="2F5E2B46"/>
    <w:rsid w:val="2F5E6B71"/>
    <w:rsid w:val="2F763085"/>
    <w:rsid w:val="2F8D50EC"/>
    <w:rsid w:val="2F9A47EB"/>
    <w:rsid w:val="2FB25B04"/>
    <w:rsid w:val="2FB86CA7"/>
    <w:rsid w:val="2FBA4090"/>
    <w:rsid w:val="2FC25D33"/>
    <w:rsid w:val="2FCF2118"/>
    <w:rsid w:val="2FD070C9"/>
    <w:rsid w:val="2FF17792"/>
    <w:rsid w:val="30057F0C"/>
    <w:rsid w:val="3014192D"/>
    <w:rsid w:val="302F1FD8"/>
    <w:rsid w:val="30321BB7"/>
    <w:rsid w:val="30357520"/>
    <w:rsid w:val="303A7A8C"/>
    <w:rsid w:val="3057630F"/>
    <w:rsid w:val="308C2663"/>
    <w:rsid w:val="308D1FB1"/>
    <w:rsid w:val="30913406"/>
    <w:rsid w:val="30924521"/>
    <w:rsid w:val="30985907"/>
    <w:rsid w:val="30A14510"/>
    <w:rsid w:val="30AC3497"/>
    <w:rsid w:val="30BE42F2"/>
    <w:rsid w:val="30C244C6"/>
    <w:rsid w:val="30D6143E"/>
    <w:rsid w:val="30E11567"/>
    <w:rsid w:val="30FB3797"/>
    <w:rsid w:val="30FC4B15"/>
    <w:rsid w:val="3104056C"/>
    <w:rsid w:val="311E1B74"/>
    <w:rsid w:val="313316B3"/>
    <w:rsid w:val="313C5604"/>
    <w:rsid w:val="31504665"/>
    <w:rsid w:val="31824CDA"/>
    <w:rsid w:val="31975CBD"/>
    <w:rsid w:val="319B3C80"/>
    <w:rsid w:val="31A27CEA"/>
    <w:rsid w:val="31AF4D2B"/>
    <w:rsid w:val="31C91F85"/>
    <w:rsid w:val="31E651B6"/>
    <w:rsid w:val="31EB09DC"/>
    <w:rsid w:val="32156F9D"/>
    <w:rsid w:val="3222569A"/>
    <w:rsid w:val="32496000"/>
    <w:rsid w:val="32756318"/>
    <w:rsid w:val="32793115"/>
    <w:rsid w:val="327B643D"/>
    <w:rsid w:val="32837AFF"/>
    <w:rsid w:val="32985846"/>
    <w:rsid w:val="32A4491C"/>
    <w:rsid w:val="32AA10F2"/>
    <w:rsid w:val="32C940F2"/>
    <w:rsid w:val="32D60BB1"/>
    <w:rsid w:val="32F55053"/>
    <w:rsid w:val="331B5A12"/>
    <w:rsid w:val="33240E2C"/>
    <w:rsid w:val="3333573D"/>
    <w:rsid w:val="3339341B"/>
    <w:rsid w:val="334708C5"/>
    <w:rsid w:val="334935D7"/>
    <w:rsid w:val="334943EF"/>
    <w:rsid w:val="335057BF"/>
    <w:rsid w:val="335622FE"/>
    <w:rsid w:val="335A7938"/>
    <w:rsid w:val="33870C82"/>
    <w:rsid w:val="338C7487"/>
    <w:rsid w:val="33B27644"/>
    <w:rsid w:val="33B76E16"/>
    <w:rsid w:val="33CF7944"/>
    <w:rsid w:val="33DD20FA"/>
    <w:rsid w:val="33E17E4B"/>
    <w:rsid w:val="33F63458"/>
    <w:rsid w:val="33FB23D1"/>
    <w:rsid w:val="33FF0CAF"/>
    <w:rsid w:val="34111ACF"/>
    <w:rsid w:val="34145AAC"/>
    <w:rsid w:val="34416075"/>
    <w:rsid w:val="34436F52"/>
    <w:rsid w:val="34440135"/>
    <w:rsid w:val="34445A68"/>
    <w:rsid w:val="34530DE6"/>
    <w:rsid w:val="34571CEE"/>
    <w:rsid w:val="34655B8C"/>
    <w:rsid w:val="34764202"/>
    <w:rsid w:val="34881023"/>
    <w:rsid w:val="349B623D"/>
    <w:rsid w:val="34CE43C6"/>
    <w:rsid w:val="34D5227A"/>
    <w:rsid w:val="34E5554D"/>
    <w:rsid w:val="34F5634F"/>
    <w:rsid w:val="351745AD"/>
    <w:rsid w:val="352746E3"/>
    <w:rsid w:val="352C1094"/>
    <w:rsid w:val="353631AF"/>
    <w:rsid w:val="35551AC3"/>
    <w:rsid w:val="356D6EFD"/>
    <w:rsid w:val="35715ECF"/>
    <w:rsid w:val="35721322"/>
    <w:rsid w:val="35835BE5"/>
    <w:rsid w:val="3585150A"/>
    <w:rsid w:val="35853BD4"/>
    <w:rsid w:val="35A94E4B"/>
    <w:rsid w:val="35B350E4"/>
    <w:rsid w:val="35C26581"/>
    <w:rsid w:val="35DC154A"/>
    <w:rsid w:val="35DE7A11"/>
    <w:rsid w:val="35DE7F7E"/>
    <w:rsid w:val="35F6776C"/>
    <w:rsid w:val="36067BEA"/>
    <w:rsid w:val="36265C8C"/>
    <w:rsid w:val="36275F07"/>
    <w:rsid w:val="362E1502"/>
    <w:rsid w:val="36465A4E"/>
    <w:rsid w:val="366117B8"/>
    <w:rsid w:val="36705E05"/>
    <w:rsid w:val="36724CC3"/>
    <w:rsid w:val="36905BED"/>
    <w:rsid w:val="369C3612"/>
    <w:rsid w:val="36AE1DE6"/>
    <w:rsid w:val="36B67FED"/>
    <w:rsid w:val="36BC6AC8"/>
    <w:rsid w:val="36DA1C25"/>
    <w:rsid w:val="36F82A5C"/>
    <w:rsid w:val="36FA5D2B"/>
    <w:rsid w:val="37007982"/>
    <w:rsid w:val="37036AE1"/>
    <w:rsid w:val="370749FB"/>
    <w:rsid w:val="37123BF3"/>
    <w:rsid w:val="372130C7"/>
    <w:rsid w:val="37313526"/>
    <w:rsid w:val="37390268"/>
    <w:rsid w:val="373B0507"/>
    <w:rsid w:val="374D5855"/>
    <w:rsid w:val="375D2008"/>
    <w:rsid w:val="377B52A7"/>
    <w:rsid w:val="378022CB"/>
    <w:rsid w:val="378443E9"/>
    <w:rsid w:val="378A11E5"/>
    <w:rsid w:val="37965C4F"/>
    <w:rsid w:val="37AD5CF2"/>
    <w:rsid w:val="37B0674E"/>
    <w:rsid w:val="37B65193"/>
    <w:rsid w:val="37B80462"/>
    <w:rsid w:val="37C8338F"/>
    <w:rsid w:val="37C945F3"/>
    <w:rsid w:val="37DC547C"/>
    <w:rsid w:val="37F17006"/>
    <w:rsid w:val="37F8751C"/>
    <w:rsid w:val="380A6434"/>
    <w:rsid w:val="38147F55"/>
    <w:rsid w:val="381739B0"/>
    <w:rsid w:val="381F0202"/>
    <w:rsid w:val="38206066"/>
    <w:rsid w:val="38230E8F"/>
    <w:rsid w:val="38490924"/>
    <w:rsid w:val="38582CF4"/>
    <w:rsid w:val="38597859"/>
    <w:rsid w:val="386158ED"/>
    <w:rsid w:val="38825CCD"/>
    <w:rsid w:val="388A7FBD"/>
    <w:rsid w:val="38981A3F"/>
    <w:rsid w:val="38A21551"/>
    <w:rsid w:val="38B45B96"/>
    <w:rsid w:val="38BC22B3"/>
    <w:rsid w:val="38C15975"/>
    <w:rsid w:val="38C4052A"/>
    <w:rsid w:val="38EA38F0"/>
    <w:rsid w:val="38F17F40"/>
    <w:rsid w:val="38F358DC"/>
    <w:rsid w:val="39065F44"/>
    <w:rsid w:val="39101D39"/>
    <w:rsid w:val="394535FB"/>
    <w:rsid w:val="39511AF6"/>
    <w:rsid w:val="39641CDD"/>
    <w:rsid w:val="39790121"/>
    <w:rsid w:val="397B727B"/>
    <w:rsid w:val="398A27BC"/>
    <w:rsid w:val="39974412"/>
    <w:rsid w:val="39AA30F5"/>
    <w:rsid w:val="39B34438"/>
    <w:rsid w:val="39C67ECA"/>
    <w:rsid w:val="39CA4E68"/>
    <w:rsid w:val="39CA792A"/>
    <w:rsid w:val="39CB7339"/>
    <w:rsid w:val="39DF5BCC"/>
    <w:rsid w:val="39E26154"/>
    <w:rsid w:val="39E46262"/>
    <w:rsid w:val="39FE0BEE"/>
    <w:rsid w:val="3A05247B"/>
    <w:rsid w:val="3A1068EB"/>
    <w:rsid w:val="3A257825"/>
    <w:rsid w:val="3A266E88"/>
    <w:rsid w:val="3A375ECA"/>
    <w:rsid w:val="3A394CD0"/>
    <w:rsid w:val="3A4157C2"/>
    <w:rsid w:val="3A447C02"/>
    <w:rsid w:val="3A48038B"/>
    <w:rsid w:val="3A7C2864"/>
    <w:rsid w:val="3A8F0582"/>
    <w:rsid w:val="3A904C0F"/>
    <w:rsid w:val="3A9267A3"/>
    <w:rsid w:val="3A9E7F31"/>
    <w:rsid w:val="3AA0415A"/>
    <w:rsid w:val="3AAD388C"/>
    <w:rsid w:val="3AB024E2"/>
    <w:rsid w:val="3AC21656"/>
    <w:rsid w:val="3AEA532D"/>
    <w:rsid w:val="3AF630D0"/>
    <w:rsid w:val="3AFC552C"/>
    <w:rsid w:val="3B014AE6"/>
    <w:rsid w:val="3B062895"/>
    <w:rsid w:val="3B0D352D"/>
    <w:rsid w:val="3B172B28"/>
    <w:rsid w:val="3B2C7D98"/>
    <w:rsid w:val="3B451690"/>
    <w:rsid w:val="3B484269"/>
    <w:rsid w:val="3B544595"/>
    <w:rsid w:val="3B5724DE"/>
    <w:rsid w:val="3B574F9C"/>
    <w:rsid w:val="3B5F325E"/>
    <w:rsid w:val="3B66733F"/>
    <w:rsid w:val="3B6E2093"/>
    <w:rsid w:val="3B7374CD"/>
    <w:rsid w:val="3B776903"/>
    <w:rsid w:val="3B793B47"/>
    <w:rsid w:val="3B88116B"/>
    <w:rsid w:val="3BAA3221"/>
    <w:rsid w:val="3BE92C13"/>
    <w:rsid w:val="3BFE77F3"/>
    <w:rsid w:val="3C0254E8"/>
    <w:rsid w:val="3C3765BF"/>
    <w:rsid w:val="3C417ABF"/>
    <w:rsid w:val="3C505743"/>
    <w:rsid w:val="3C520D04"/>
    <w:rsid w:val="3C546E8C"/>
    <w:rsid w:val="3C627A1F"/>
    <w:rsid w:val="3C627C3F"/>
    <w:rsid w:val="3C8B1FE9"/>
    <w:rsid w:val="3C8D1F98"/>
    <w:rsid w:val="3C97481B"/>
    <w:rsid w:val="3CA950D0"/>
    <w:rsid w:val="3CAA511C"/>
    <w:rsid w:val="3CBD77C1"/>
    <w:rsid w:val="3CC72CEA"/>
    <w:rsid w:val="3CD53853"/>
    <w:rsid w:val="3CDA2242"/>
    <w:rsid w:val="3CE737A8"/>
    <w:rsid w:val="3D252ED8"/>
    <w:rsid w:val="3D3472CE"/>
    <w:rsid w:val="3D3811C1"/>
    <w:rsid w:val="3D3E2C91"/>
    <w:rsid w:val="3D506438"/>
    <w:rsid w:val="3D6030A8"/>
    <w:rsid w:val="3D6304F6"/>
    <w:rsid w:val="3D6B4837"/>
    <w:rsid w:val="3D777F58"/>
    <w:rsid w:val="3D925A7D"/>
    <w:rsid w:val="3DB70684"/>
    <w:rsid w:val="3DBC41C1"/>
    <w:rsid w:val="3DD1395F"/>
    <w:rsid w:val="3DDB26C6"/>
    <w:rsid w:val="3DDC4B22"/>
    <w:rsid w:val="3DE30BDB"/>
    <w:rsid w:val="3DE43083"/>
    <w:rsid w:val="3DEB5792"/>
    <w:rsid w:val="3DED2A01"/>
    <w:rsid w:val="3DF33FC2"/>
    <w:rsid w:val="3DF6167A"/>
    <w:rsid w:val="3DF82EEA"/>
    <w:rsid w:val="3E0D701E"/>
    <w:rsid w:val="3E135E63"/>
    <w:rsid w:val="3E332CB3"/>
    <w:rsid w:val="3E3360C9"/>
    <w:rsid w:val="3E526413"/>
    <w:rsid w:val="3E5362E0"/>
    <w:rsid w:val="3E6530F5"/>
    <w:rsid w:val="3E72390D"/>
    <w:rsid w:val="3E7270C7"/>
    <w:rsid w:val="3E73587A"/>
    <w:rsid w:val="3E8A2D59"/>
    <w:rsid w:val="3E9F360A"/>
    <w:rsid w:val="3EAF5EF1"/>
    <w:rsid w:val="3EB24E00"/>
    <w:rsid w:val="3EB41FAA"/>
    <w:rsid w:val="3EBF6F19"/>
    <w:rsid w:val="3EC9754C"/>
    <w:rsid w:val="3EE23F38"/>
    <w:rsid w:val="3EE92576"/>
    <w:rsid w:val="3EF17D82"/>
    <w:rsid w:val="3F001356"/>
    <w:rsid w:val="3F047BC6"/>
    <w:rsid w:val="3F0A7814"/>
    <w:rsid w:val="3F0E45E0"/>
    <w:rsid w:val="3F46151D"/>
    <w:rsid w:val="3F545FF5"/>
    <w:rsid w:val="3F5A4929"/>
    <w:rsid w:val="3F5F3592"/>
    <w:rsid w:val="3F6E54B3"/>
    <w:rsid w:val="3F716D9B"/>
    <w:rsid w:val="3F861E36"/>
    <w:rsid w:val="3F8F68DE"/>
    <w:rsid w:val="3F910EF6"/>
    <w:rsid w:val="3F9D5476"/>
    <w:rsid w:val="3FA11033"/>
    <w:rsid w:val="3FA21276"/>
    <w:rsid w:val="3FA26C92"/>
    <w:rsid w:val="3FCB5FBE"/>
    <w:rsid w:val="3FD33203"/>
    <w:rsid w:val="3FF84340"/>
    <w:rsid w:val="3FFE2EA7"/>
    <w:rsid w:val="405C27D1"/>
    <w:rsid w:val="406118C6"/>
    <w:rsid w:val="406C68E1"/>
    <w:rsid w:val="406E6E4D"/>
    <w:rsid w:val="408531EF"/>
    <w:rsid w:val="409E6FEB"/>
    <w:rsid w:val="40AF76D7"/>
    <w:rsid w:val="40B922CB"/>
    <w:rsid w:val="40FD28BE"/>
    <w:rsid w:val="41076015"/>
    <w:rsid w:val="410A6C2B"/>
    <w:rsid w:val="4115175A"/>
    <w:rsid w:val="411B386E"/>
    <w:rsid w:val="412B5001"/>
    <w:rsid w:val="4131454F"/>
    <w:rsid w:val="413C466B"/>
    <w:rsid w:val="41446FA7"/>
    <w:rsid w:val="414479FA"/>
    <w:rsid w:val="414F577F"/>
    <w:rsid w:val="415B3AB5"/>
    <w:rsid w:val="41715E8A"/>
    <w:rsid w:val="418A4550"/>
    <w:rsid w:val="41B63606"/>
    <w:rsid w:val="41C65204"/>
    <w:rsid w:val="41E12C29"/>
    <w:rsid w:val="41E953FF"/>
    <w:rsid w:val="41FC5A4D"/>
    <w:rsid w:val="421914A8"/>
    <w:rsid w:val="42380C90"/>
    <w:rsid w:val="423D09CF"/>
    <w:rsid w:val="42446435"/>
    <w:rsid w:val="424E1A22"/>
    <w:rsid w:val="42521F87"/>
    <w:rsid w:val="425B1F1D"/>
    <w:rsid w:val="42703649"/>
    <w:rsid w:val="4287360C"/>
    <w:rsid w:val="42977E3F"/>
    <w:rsid w:val="42982F05"/>
    <w:rsid w:val="42A75912"/>
    <w:rsid w:val="42A7680B"/>
    <w:rsid w:val="42AA1A5D"/>
    <w:rsid w:val="42B80289"/>
    <w:rsid w:val="42BB7828"/>
    <w:rsid w:val="42E23CD3"/>
    <w:rsid w:val="42E2636F"/>
    <w:rsid w:val="430E6C15"/>
    <w:rsid w:val="43112363"/>
    <w:rsid w:val="43117A60"/>
    <w:rsid w:val="431443B7"/>
    <w:rsid w:val="4320067F"/>
    <w:rsid w:val="433101DC"/>
    <w:rsid w:val="43332C96"/>
    <w:rsid w:val="43350976"/>
    <w:rsid w:val="4351092C"/>
    <w:rsid w:val="4355211A"/>
    <w:rsid w:val="435C57F8"/>
    <w:rsid w:val="43666420"/>
    <w:rsid w:val="436B615D"/>
    <w:rsid w:val="436D1D2A"/>
    <w:rsid w:val="43801BF0"/>
    <w:rsid w:val="43880D52"/>
    <w:rsid w:val="4391367C"/>
    <w:rsid w:val="43AA19D3"/>
    <w:rsid w:val="43B11B6F"/>
    <w:rsid w:val="43B13EB2"/>
    <w:rsid w:val="43C45D15"/>
    <w:rsid w:val="43C819D5"/>
    <w:rsid w:val="43CA38E9"/>
    <w:rsid w:val="440B3ADF"/>
    <w:rsid w:val="44185C60"/>
    <w:rsid w:val="443C40AD"/>
    <w:rsid w:val="444B5C41"/>
    <w:rsid w:val="44627E8E"/>
    <w:rsid w:val="446C3B95"/>
    <w:rsid w:val="44804860"/>
    <w:rsid w:val="44807018"/>
    <w:rsid w:val="44B3457C"/>
    <w:rsid w:val="44CC2B55"/>
    <w:rsid w:val="44CD0425"/>
    <w:rsid w:val="450D1D8B"/>
    <w:rsid w:val="450E0378"/>
    <w:rsid w:val="45155CD0"/>
    <w:rsid w:val="45191183"/>
    <w:rsid w:val="451E2138"/>
    <w:rsid w:val="45321187"/>
    <w:rsid w:val="453A303C"/>
    <w:rsid w:val="45960826"/>
    <w:rsid w:val="459A43EF"/>
    <w:rsid w:val="45B74A0F"/>
    <w:rsid w:val="45B96457"/>
    <w:rsid w:val="45C0644D"/>
    <w:rsid w:val="45D70B29"/>
    <w:rsid w:val="45DF76C3"/>
    <w:rsid w:val="460B4C7E"/>
    <w:rsid w:val="461109AA"/>
    <w:rsid w:val="462C4668"/>
    <w:rsid w:val="4647709E"/>
    <w:rsid w:val="46587F46"/>
    <w:rsid w:val="46737791"/>
    <w:rsid w:val="46A43147"/>
    <w:rsid w:val="46BD5943"/>
    <w:rsid w:val="46D0653E"/>
    <w:rsid w:val="47065FAD"/>
    <w:rsid w:val="47152B0E"/>
    <w:rsid w:val="471A70F1"/>
    <w:rsid w:val="47231A9A"/>
    <w:rsid w:val="47321912"/>
    <w:rsid w:val="47390D0D"/>
    <w:rsid w:val="47400F1C"/>
    <w:rsid w:val="47557713"/>
    <w:rsid w:val="475D04CC"/>
    <w:rsid w:val="47614A2B"/>
    <w:rsid w:val="4783173A"/>
    <w:rsid w:val="478E7E7C"/>
    <w:rsid w:val="47912662"/>
    <w:rsid w:val="479A2AC8"/>
    <w:rsid w:val="479A530B"/>
    <w:rsid w:val="479C5F27"/>
    <w:rsid w:val="479D46A5"/>
    <w:rsid w:val="47C01F82"/>
    <w:rsid w:val="47CA7D9C"/>
    <w:rsid w:val="47DC3BBE"/>
    <w:rsid w:val="47E35BB8"/>
    <w:rsid w:val="47E72DD2"/>
    <w:rsid w:val="48012CC0"/>
    <w:rsid w:val="480F755D"/>
    <w:rsid w:val="482C7093"/>
    <w:rsid w:val="4853622B"/>
    <w:rsid w:val="48554958"/>
    <w:rsid w:val="48796EE6"/>
    <w:rsid w:val="487A61F6"/>
    <w:rsid w:val="487D07C0"/>
    <w:rsid w:val="488D3AAA"/>
    <w:rsid w:val="48D946C7"/>
    <w:rsid w:val="48FD2CA0"/>
    <w:rsid w:val="490B2E26"/>
    <w:rsid w:val="490D0AB9"/>
    <w:rsid w:val="493E0853"/>
    <w:rsid w:val="494C2130"/>
    <w:rsid w:val="497F32FE"/>
    <w:rsid w:val="49875F23"/>
    <w:rsid w:val="498B65A6"/>
    <w:rsid w:val="49A718A1"/>
    <w:rsid w:val="49BE74E6"/>
    <w:rsid w:val="49C41A86"/>
    <w:rsid w:val="49C74EED"/>
    <w:rsid w:val="49CE2DB2"/>
    <w:rsid w:val="49D46CB0"/>
    <w:rsid w:val="49DD55E8"/>
    <w:rsid w:val="49FA4E79"/>
    <w:rsid w:val="4A2B7D94"/>
    <w:rsid w:val="4A342790"/>
    <w:rsid w:val="4A4A498A"/>
    <w:rsid w:val="4A662607"/>
    <w:rsid w:val="4A794BA3"/>
    <w:rsid w:val="4A7F666E"/>
    <w:rsid w:val="4A914806"/>
    <w:rsid w:val="4A962EE6"/>
    <w:rsid w:val="4A964F98"/>
    <w:rsid w:val="4A9A4D4F"/>
    <w:rsid w:val="4ABF501C"/>
    <w:rsid w:val="4AC663E7"/>
    <w:rsid w:val="4AE03FBB"/>
    <w:rsid w:val="4AE07BD7"/>
    <w:rsid w:val="4B1237B9"/>
    <w:rsid w:val="4B18191F"/>
    <w:rsid w:val="4B1A283D"/>
    <w:rsid w:val="4B250B03"/>
    <w:rsid w:val="4B440861"/>
    <w:rsid w:val="4B5126BC"/>
    <w:rsid w:val="4B517E8D"/>
    <w:rsid w:val="4B7A3436"/>
    <w:rsid w:val="4B8151BD"/>
    <w:rsid w:val="4B8572AC"/>
    <w:rsid w:val="4BA228EE"/>
    <w:rsid w:val="4BBD26ED"/>
    <w:rsid w:val="4BE47C30"/>
    <w:rsid w:val="4BED4C93"/>
    <w:rsid w:val="4BF22B86"/>
    <w:rsid w:val="4BFE0B68"/>
    <w:rsid w:val="4C09592F"/>
    <w:rsid w:val="4C111F57"/>
    <w:rsid w:val="4C125570"/>
    <w:rsid w:val="4C152603"/>
    <w:rsid w:val="4C1C394C"/>
    <w:rsid w:val="4C310DCE"/>
    <w:rsid w:val="4C633443"/>
    <w:rsid w:val="4C71732D"/>
    <w:rsid w:val="4C906D1A"/>
    <w:rsid w:val="4C9633CE"/>
    <w:rsid w:val="4C98546D"/>
    <w:rsid w:val="4CB27AAF"/>
    <w:rsid w:val="4CE56C20"/>
    <w:rsid w:val="4CF051FF"/>
    <w:rsid w:val="4CF05E01"/>
    <w:rsid w:val="4D003CF1"/>
    <w:rsid w:val="4D2A6587"/>
    <w:rsid w:val="4D327D93"/>
    <w:rsid w:val="4D390C62"/>
    <w:rsid w:val="4D4A35F5"/>
    <w:rsid w:val="4D4C4930"/>
    <w:rsid w:val="4D4F1ADC"/>
    <w:rsid w:val="4D5A127B"/>
    <w:rsid w:val="4D896B87"/>
    <w:rsid w:val="4D944C89"/>
    <w:rsid w:val="4D970721"/>
    <w:rsid w:val="4D9F3D99"/>
    <w:rsid w:val="4DAB003B"/>
    <w:rsid w:val="4DB947DD"/>
    <w:rsid w:val="4DC36D45"/>
    <w:rsid w:val="4DCD239E"/>
    <w:rsid w:val="4DD82C43"/>
    <w:rsid w:val="4DD96FB0"/>
    <w:rsid w:val="4DDC2D58"/>
    <w:rsid w:val="4DDF075E"/>
    <w:rsid w:val="4DE40DEA"/>
    <w:rsid w:val="4E0B37F5"/>
    <w:rsid w:val="4E0E1E26"/>
    <w:rsid w:val="4E0F0E30"/>
    <w:rsid w:val="4E1D68C9"/>
    <w:rsid w:val="4E210417"/>
    <w:rsid w:val="4E31036C"/>
    <w:rsid w:val="4E3F33AA"/>
    <w:rsid w:val="4E473D57"/>
    <w:rsid w:val="4E4C7F30"/>
    <w:rsid w:val="4E796160"/>
    <w:rsid w:val="4E816AE5"/>
    <w:rsid w:val="4EB22E6F"/>
    <w:rsid w:val="4EC36F83"/>
    <w:rsid w:val="4EC62615"/>
    <w:rsid w:val="4ED6228B"/>
    <w:rsid w:val="4EE402D1"/>
    <w:rsid w:val="4EE81D11"/>
    <w:rsid w:val="4F110ECF"/>
    <w:rsid w:val="4F122696"/>
    <w:rsid w:val="4F3A230B"/>
    <w:rsid w:val="4F4412E4"/>
    <w:rsid w:val="4F5C5F92"/>
    <w:rsid w:val="4F5F3D3F"/>
    <w:rsid w:val="4F685C9F"/>
    <w:rsid w:val="4F8133F9"/>
    <w:rsid w:val="4F8B4C80"/>
    <w:rsid w:val="4F992D71"/>
    <w:rsid w:val="4FA162AD"/>
    <w:rsid w:val="4FAC0B63"/>
    <w:rsid w:val="4FAD1966"/>
    <w:rsid w:val="4FB503C2"/>
    <w:rsid w:val="4FDF63AF"/>
    <w:rsid w:val="4FE52111"/>
    <w:rsid w:val="4FE92E31"/>
    <w:rsid w:val="4FEB7F8A"/>
    <w:rsid w:val="50130BFE"/>
    <w:rsid w:val="50143F6C"/>
    <w:rsid w:val="50224C52"/>
    <w:rsid w:val="502B48CA"/>
    <w:rsid w:val="502F1C1C"/>
    <w:rsid w:val="5042276D"/>
    <w:rsid w:val="50454464"/>
    <w:rsid w:val="50483F54"/>
    <w:rsid w:val="506B57FA"/>
    <w:rsid w:val="5090326A"/>
    <w:rsid w:val="509A242C"/>
    <w:rsid w:val="50B37BE5"/>
    <w:rsid w:val="50CB307B"/>
    <w:rsid w:val="50E33468"/>
    <w:rsid w:val="50FB4EFA"/>
    <w:rsid w:val="51020A3E"/>
    <w:rsid w:val="510416F4"/>
    <w:rsid w:val="510A5817"/>
    <w:rsid w:val="510B2AB9"/>
    <w:rsid w:val="51175AFE"/>
    <w:rsid w:val="511D2E3E"/>
    <w:rsid w:val="511D3935"/>
    <w:rsid w:val="511E6606"/>
    <w:rsid w:val="51317F30"/>
    <w:rsid w:val="513F7221"/>
    <w:rsid w:val="516E68AE"/>
    <w:rsid w:val="5178157E"/>
    <w:rsid w:val="517B729B"/>
    <w:rsid w:val="517F33E1"/>
    <w:rsid w:val="51810332"/>
    <w:rsid w:val="518E3FED"/>
    <w:rsid w:val="51984B96"/>
    <w:rsid w:val="51A358DA"/>
    <w:rsid w:val="51AF4FC0"/>
    <w:rsid w:val="51B15B29"/>
    <w:rsid w:val="51B160A2"/>
    <w:rsid w:val="51BE0D8B"/>
    <w:rsid w:val="51D16CE5"/>
    <w:rsid w:val="51E17408"/>
    <w:rsid w:val="51EF6CA6"/>
    <w:rsid w:val="51F63CD2"/>
    <w:rsid w:val="521023F0"/>
    <w:rsid w:val="521C6CB1"/>
    <w:rsid w:val="523A76D6"/>
    <w:rsid w:val="526F272B"/>
    <w:rsid w:val="527321AD"/>
    <w:rsid w:val="527B07ED"/>
    <w:rsid w:val="5286301C"/>
    <w:rsid w:val="52867AB5"/>
    <w:rsid w:val="52911072"/>
    <w:rsid w:val="52C92BB5"/>
    <w:rsid w:val="52CD723D"/>
    <w:rsid w:val="52D5689E"/>
    <w:rsid w:val="52DE226F"/>
    <w:rsid w:val="52E3013C"/>
    <w:rsid w:val="52F91D32"/>
    <w:rsid w:val="53163F85"/>
    <w:rsid w:val="53291CF1"/>
    <w:rsid w:val="533220F9"/>
    <w:rsid w:val="53382F34"/>
    <w:rsid w:val="536F2929"/>
    <w:rsid w:val="537D3F15"/>
    <w:rsid w:val="538A71A4"/>
    <w:rsid w:val="53B40AF8"/>
    <w:rsid w:val="53B44FEE"/>
    <w:rsid w:val="53B84F4D"/>
    <w:rsid w:val="53EC4A64"/>
    <w:rsid w:val="53EF5A51"/>
    <w:rsid w:val="53FD4CD3"/>
    <w:rsid w:val="5414379C"/>
    <w:rsid w:val="541B6699"/>
    <w:rsid w:val="542969D1"/>
    <w:rsid w:val="54444E36"/>
    <w:rsid w:val="544A5D2B"/>
    <w:rsid w:val="54850442"/>
    <w:rsid w:val="548C2217"/>
    <w:rsid w:val="548D0081"/>
    <w:rsid w:val="548E4C8E"/>
    <w:rsid w:val="54951504"/>
    <w:rsid w:val="549A59C5"/>
    <w:rsid w:val="549C486F"/>
    <w:rsid w:val="54A64282"/>
    <w:rsid w:val="54B20B0E"/>
    <w:rsid w:val="54D4692B"/>
    <w:rsid w:val="54E30FFF"/>
    <w:rsid w:val="54E47F1F"/>
    <w:rsid w:val="550024A4"/>
    <w:rsid w:val="550E2513"/>
    <w:rsid w:val="55105F8F"/>
    <w:rsid w:val="551259C0"/>
    <w:rsid w:val="551E58F1"/>
    <w:rsid w:val="55216D7C"/>
    <w:rsid w:val="55473BAA"/>
    <w:rsid w:val="55477308"/>
    <w:rsid w:val="5568711F"/>
    <w:rsid w:val="556B07F7"/>
    <w:rsid w:val="557225FD"/>
    <w:rsid w:val="55BC5767"/>
    <w:rsid w:val="55D018FB"/>
    <w:rsid w:val="55D41DE6"/>
    <w:rsid w:val="56184B7A"/>
    <w:rsid w:val="561D378D"/>
    <w:rsid w:val="56231B8B"/>
    <w:rsid w:val="56421D48"/>
    <w:rsid w:val="564E1E93"/>
    <w:rsid w:val="565E4D5F"/>
    <w:rsid w:val="566E64AB"/>
    <w:rsid w:val="569577C7"/>
    <w:rsid w:val="56A30780"/>
    <w:rsid w:val="56BD5F8C"/>
    <w:rsid w:val="56C72E0B"/>
    <w:rsid w:val="56CA383B"/>
    <w:rsid w:val="56CB2880"/>
    <w:rsid w:val="56D178E0"/>
    <w:rsid w:val="56D32531"/>
    <w:rsid w:val="56E54005"/>
    <w:rsid w:val="56E60C57"/>
    <w:rsid w:val="56EC3F39"/>
    <w:rsid w:val="570600A4"/>
    <w:rsid w:val="57210EDA"/>
    <w:rsid w:val="573A7E05"/>
    <w:rsid w:val="57446F62"/>
    <w:rsid w:val="575F2190"/>
    <w:rsid w:val="57631674"/>
    <w:rsid w:val="5768175D"/>
    <w:rsid w:val="577012B6"/>
    <w:rsid w:val="577904DA"/>
    <w:rsid w:val="57801A10"/>
    <w:rsid w:val="578F1C78"/>
    <w:rsid w:val="57A341A9"/>
    <w:rsid w:val="57A37DA6"/>
    <w:rsid w:val="57B074E6"/>
    <w:rsid w:val="57B4477C"/>
    <w:rsid w:val="57BA3868"/>
    <w:rsid w:val="57BF31C4"/>
    <w:rsid w:val="57D279E2"/>
    <w:rsid w:val="57D56AAB"/>
    <w:rsid w:val="57D86427"/>
    <w:rsid w:val="57F05080"/>
    <w:rsid w:val="57F36963"/>
    <w:rsid w:val="580D4497"/>
    <w:rsid w:val="58145A1A"/>
    <w:rsid w:val="5845365C"/>
    <w:rsid w:val="58495B00"/>
    <w:rsid w:val="58792704"/>
    <w:rsid w:val="588E3766"/>
    <w:rsid w:val="58960547"/>
    <w:rsid w:val="58A94865"/>
    <w:rsid w:val="58BF6D62"/>
    <w:rsid w:val="58DE6B15"/>
    <w:rsid w:val="58FD0FCF"/>
    <w:rsid w:val="590557CF"/>
    <w:rsid w:val="59056158"/>
    <w:rsid w:val="59085BBE"/>
    <w:rsid w:val="591A03AF"/>
    <w:rsid w:val="591D3610"/>
    <w:rsid w:val="59330D43"/>
    <w:rsid w:val="59373027"/>
    <w:rsid w:val="593D6727"/>
    <w:rsid w:val="5966472E"/>
    <w:rsid w:val="596F4A8F"/>
    <w:rsid w:val="59885E1C"/>
    <w:rsid w:val="598A6F6E"/>
    <w:rsid w:val="599D70BF"/>
    <w:rsid w:val="59B01256"/>
    <w:rsid w:val="59D47CF2"/>
    <w:rsid w:val="5A0706ED"/>
    <w:rsid w:val="5A210A0D"/>
    <w:rsid w:val="5A281A91"/>
    <w:rsid w:val="5A445A91"/>
    <w:rsid w:val="5A4B4429"/>
    <w:rsid w:val="5A4C31CF"/>
    <w:rsid w:val="5A636E45"/>
    <w:rsid w:val="5A6D22B4"/>
    <w:rsid w:val="5A7A3C13"/>
    <w:rsid w:val="5A8F4B14"/>
    <w:rsid w:val="5A996207"/>
    <w:rsid w:val="5A9A4240"/>
    <w:rsid w:val="5A9C19ED"/>
    <w:rsid w:val="5A9C45ED"/>
    <w:rsid w:val="5A9E75B7"/>
    <w:rsid w:val="5AA72AE5"/>
    <w:rsid w:val="5AB66A0E"/>
    <w:rsid w:val="5AC64B00"/>
    <w:rsid w:val="5AD559EC"/>
    <w:rsid w:val="5AE723C4"/>
    <w:rsid w:val="5AF75C9D"/>
    <w:rsid w:val="5B0C3724"/>
    <w:rsid w:val="5B142C3C"/>
    <w:rsid w:val="5B472870"/>
    <w:rsid w:val="5B4C01BA"/>
    <w:rsid w:val="5B51213C"/>
    <w:rsid w:val="5B5411B0"/>
    <w:rsid w:val="5B621E8F"/>
    <w:rsid w:val="5B6C1A3C"/>
    <w:rsid w:val="5B8A3673"/>
    <w:rsid w:val="5B9802F8"/>
    <w:rsid w:val="5B984717"/>
    <w:rsid w:val="5B9B7F96"/>
    <w:rsid w:val="5BAB0D66"/>
    <w:rsid w:val="5BB4006A"/>
    <w:rsid w:val="5BEA654A"/>
    <w:rsid w:val="5BF248E8"/>
    <w:rsid w:val="5BFB7D03"/>
    <w:rsid w:val="5C165499"/>
    <w:rsid w:val="5C1679AD"/>
    <w:rsid w:val="5C2F2F4C"/>
    <w:rsid w:val="5C473312"/>
    <w:rsid w:val="5C47474C"/>
    <w:rsid w:val="5C4E5AAD"/>
    <w:rsid w:val="5C5B31B7"/>
    <w:rsid w:val="5C5C2E5C"/>
    <w:rsid w:val="5C6739B4"/>
    <w:rsid w:val="5C6A4C6A"/>
    <w:rsid w:val="5C6E3509"/>
    <w:rsid w:val="5C7922E1"/>
    <w:rsid w:val="5CA54B1E"/>
    <w:rsid w:val="5CA57104"/>
    <w:rsid w:val="5CB032A8"/>
    <w:rsid w:val="5CBB747A"/>
    <w:rsid w:val="5CC6277F"/>
    <w:rsid w:val="5CD2031B"/>
    <w:rsid w:val="5CE61542"/>
    <w:rsid w:val="5CF15DB2"/>
    <w:rsid w:val="5D1236CD"/>
    <w:rsid w:val="5D1B6160"/>
    <w:rsid w:val="5D3C5E9D"/>
    <w:rsid w:val="5D504971"/>
    <w:rsid w:val="5D523C65"/>
    <w:rsid w:val="5D805DE3"/>
    <w:rsid w:val="5D8B1B2A"/>
    <w:rsid w:val="5D8D28A3"/>
    <w:rsid w:val="5D985A75"/>
    <w:rsid w:val="5D9C0C48"/>
    <w:rsid w:val="5D9F0615"/>
    <w:rsid w:val="5DB17F12"/>
    <w:rsid w:val="5DD15589"/>
    <w:rsid w:val="5DD641E2"/>
    <w:rsid w:val="5DE138F4"/>
    <w:rsid w:val="5DEB623E"/>
    <w:rsid w:val="5DFD7664"/>
    <w:rsid w:val="5DFE3C58"/>
    <w:rsid w:val="5E01159A"/>
    <w:rsid w:val="5E0719B1"/>
    <w:rsid w:val="5E296432"/>
    <w:rsid w:val="5E2E29DB"/>
    <w:rsid w:val="5E2F01CA"/>
    <w:rsid w:val="5E4D53B7"/>
    <w:rsid w:val="5E505DF8"/>
    <w:rsid w:val="5E9B7945"/>
    <w:rsid w:val="5EBD25B5"/>
    <w:rsid w:val="5ECE59EA"/>
    <w:rsid w:val="5ECE664E"/>
    <w:rsid w:val="5ED46753"/>
    <w:rsid w:val="5ED5145A"/>
    <w:rsid w:val="5EE02AE5"/>
    <w:rsid w:val="5EE3099C"/>
    <w:rsid w:val="5F4A6386"/>
    <w:rsid w:val="5F4E14B3"/>
    <w:rsid w:val="5F6928CC"/>
    <w:rsid w:val="5F834061"/>
    <w:rsid w:val="5F9403A2"/>
    <w:rsid w:val="5F9F1D4D"/>
    <w:rsid w:val="5F9F7349"/>
    <w:rsid w:val="5FA96D05"/>
    <w:rsid w:val="5FAD40A6"/>
    <w:rsid w:val="5FB5647F"/>
    <w:rsid w:val="5FB90DBB"/>
    <w:rsid w:val="5FBF1411"/>
    <w:rsid w:val="5FDA1FF7"/>
    <w:rsid w:val="5FDE7552"/>
    <w:rsid w:val="600166A6"/>
    <w:rsid w:val="601F50F2"/>
    <w:rsid w:val="60215B85"/>
    <w:rsid w:val="60370322"/>
    <w:rsid w:val="604730E5"/>
    <w:rsid w:val="6065736A"/>
    <w:rsid w:val="606B1435"/>
    <w:rsid w:val="607B1FA7"/>
    <w:rsid w:val="608F662A"/>
    <w:rsid w:val="60936E6F"/>
    <w:rsid w:val="609826C2"/>
    <w:rsid w:val="60A5450E"/>
    <w:rsid w:val="60C00B38"/>
    <w:rsid w:val="60C66B44"/>
    <w:rsid w:val="60C95E25"/>
    <w:rsid w:val="60C97746"/>
    <w:rsid w:val="60CC3359"/>
    <w:rsid w:val="60D63E75"/>
    <w:rsid w:val="60D66770"/>
    <w:rsid w:val="60E16CAE"/>
    <w:rsid w:val="60EF6D19"/>
    <w:rsid w:val="60F32B79"/>
    <w:rsid w:val="60F473C6"/>
    <w:rsid w:val="60F81B31"/>
    <w:rsid w:val="60FB77B9"/>
    <w:rsid w:val="612519FC"/>
    <w:rsid w:val="614B6763"/>
    <w:rsid w:val="614E0654"/>
    <w:rsid w:val="61646714"/>
    <w:rsid w:val="617E6B07"/>
    <w:rsid w:val="61884A83"/>
    <w:rsid w:val="618F680B"/>
    <w:rsid w:val="61915A6B"/>
    <w:rsid w:val="61D616EE"/>
    <w:rsid w:val="61E7064B"/>
    <w:rsid w:val="61F27C0A"/>
    <w:rsid w:val="61F408A9"/>
    <w:rsid w:val="61F41F99"/>
    <w:rsid w:val="61FA7161"/>
    <w:rsid w:val="620452BB"/>
    <w:rsid w:val="620E6625"/>
    <w:rsid w:val="62117974"/>
    <w:rsid w:val="621B06ED"/>
    <w:rsid w:val="623D0817"/>
    <w:rsid w:val="624A431B"/>
    <w:rsid w:val="624A5108"/>
    <w:rsid w:val="624D6614"/>
    <w:rsid w:val="625A06F6"/>
    <w:rsid w:val="62777573"/>
    <w:rsid w:val="628A3EB1"/>
    <w:rsid w:val="628B546A"/>
    <w:rsid w:val="62951DD0"/>
    <w:rsid w:val="62A83289"/>
    <w:rsid w:val="62AE1640"/>
    <w:rsid w:val="62F23719"/>
    <w:rsid w:val="63044A4C"/>
    <w:rsid w:val="63351635"/>
    <w:rsid w:val="633D59C6"/>
    <w:rsid w:val="63406CD4"/>
    <w:rsid w:val="63457730"/>
    <w:rsid w:val="6348733A"/>
    <w:rsid w:val="636734A1"/>
    <w:rsid w:val="636E35EF"/>
    <w:rsid w:val="63752B0F"/>
    <w:rsid w:val="637638C4"/>
    <w:rsid w:val="63860BC4"/>
    <w:rsid w:val="639D51D0"/>
    <w:rsid w:val="63A449F2"/>
    <w:rsid w:val="63B41B9B"/>
    <w:rsid w:val="63B761FA"/>
    <w:rsid w:val="63C04463"/>
    <w:rsid w:val="63D90C4E"/>
    <w:rsid w:val="63DC61E3"/>
    <w:rsid w:val="63E15839"/>
    <w:rsid w:val="63F7469B"/>
    <w:rsid w:val="640C519A"/>
    <w:rsid w:val="64150833"/>
    <w:rsid w:val="64483F8B"/>
    <w:rsid w:val="644E157F"/>
    <w:rsid w:val="64505B82"/>
    <w:rsid w:val="649958D3"/>
    <w:rsid w:val="64B12580"/>
    <w:rsid w:val="64E23DBD"/>
    <w:rsid w:val="64E24646"/>
    <w:rsid w:val="64E4781F"/>
    <w:rsid w:val="64E61E00"/>
    <w:rsid w:val="64F03AE3"/>
    <w:rsid w:val="64FC719E"/>
    <w:rsid w:val="65234559"/>
    <w:rsid w:val="65251E5C"/>
    <w:rsid w:val="65373844"/>
    <w:rsid w:val="65396BEE"/>
    <w:rsid w:val="65470B49"/>
    <w:rsid w:val="6548155B"/>
    <w:rsid w:val="656855C9"/>
    <w:rsid w:val="656D5AFA"/>
    <w:rsid w:val="656F4EDB"/>
    <w:rsid w:val="65E930EE"/>
    <w:rsid w:val="65ED26E6"/>
    <w:rsid w:val="65F03BC8"/>
    <w:rsid w:val="65F65CDB"/>
    <w:rsid w:val="65F9623E"/>
    <w:rsid w:val="66070F57"/>
    <w:rsid w:val="66090E57"/>
    <w:rsid w:val="660B322F"/>
    <w:rsid w:val="6610731A"/>
    <w:rsid w:val="6616416A"/>
    <w:rsid w:val="66164289"/>
    <w:rsid w:val="661C5C2D"/>
    <w:rsid w:val="661F37EC"/>
    <w:rsid w:val="663C5F13"/>
    <w:rsid w:val="663C64FB"/>
    <w:rsid w:val="663E72C3"/>
    <w:rsid w:val="6657647A"/>
    <w:rsid w:val="665D311C"/>
    <w:rsid w:val="665F42B3"/>
    <w:rsid w:val="666130C7"/>
    <w:rsid w:val="666527B3"/>
    <w:rsid w:val="66725375"/>
    <w:rsid w:val="66782BDD"/>
    <w:rsid w:val="669E0D46"/>
    <w:rsid w:val="669F0D73"/>
    <w:rsid w:val="66A52714"/>
    <w:rsid w:val="66AA5374"/>
    <w:rsid w:val="66D41D33"/>
    <w:rsid w:val="66D44F60"/>
    <w:rsid w:val="66E225B5"/>
    <w:rsid w:val="66F95CC4"/>
    <w:rsid w:val="67110164"/>
    <w:rsid w:val="67152DDF"/>
    <w:rsid w:val="671D498D"/>
    <w:rsid w:val="672E517D"/>
    <w:rsid w:val="674335D3"/>
    <w:rsid w:val="67440B30"/>
    <w:rsid w:val="67481413"/>
    <w:rsid w:val="67722D61"/>
    <w:rsid w:val="67896AF7"/>
    <w:rsid w:val="678C4B05"/>
    <w:rsid w:val="67C35EE1"/>
    <w:rsid w:val="67EE62A7"/>
    <w:rsid w:val="67FC3EA3"/>
    <w:rsid w:val="68232F6F"/>
    <w:rsid w:val="684043A6"/>
    <w:rsid w:val="68602758"/>
    <w:rsid w:val="6869256F"/>
    <w:rsid w:val="68715936"/>
    <w:rsid w:val="68772441"/>
    <w:rsid w:val="687E4B73"/>
    <w:rsid w:val="6889008C"/>
    <w:rsid w:val="688F04DA"/>
    <w:rsid w:val="68906959"/>
    <w:rsid w:val="68AD4A65"/>
    <w:rsid w:val="68C53F3C"/>
    <w:rsid w:val="68E578F0"/>
    <w:rsid w:val="68EB775D"/>
    <w:rsid w:val="68F01CC1"/>
    <w:rsid w:val="69031F11"/>
    <w:rsid w:val="69094DC7"/>
    <w:rsid w:val="69391313"/>
    <w:rsid w:val="6948361E"/>
    <w:rsid w:val="69585D90"/>
    <w:rsid w:val="697E5FCB"/>
    <w:rsid w:val="699517A0"/>
    <w:rsid w:val="69A5689A"/>
    <w:rsid w:val="69B24719"/>
    <w:rsid w:val="69CA4DC4"/>
    <w:rsid w:val="69CE4A37"/>
    <w:rsid w:val="69E52C70"/>
    <w:rsid w:val="69EB27CC"/>
    <w:rsid w:val="6A124962"/>
    <w:rsid w:val="6A131951"/>
    <w:rsid w:val="6A331035"/>
    <w:rsid w:val="6A33514D"/>
    <w:rsid w:val="6A5212A6"/>
    <w:rsid w:val="6A5256D3"/>
    <w:rsid w:val="6A662AEB"/>
    <w:rsid w:val="6A8366CB"/>
    <w:rsid w:val="6A9E70DF"/>
    <w:rsid w:val="6ADA4237"/>
    <w:rsid w:val="6AE61C34"/>
    <w:rsid w:val="6AE65BD5"/>
    <w:rsid w:val="6B1679CA"/>
    <w:rsid w:val="6B1810C9"/>
    <w:rsid w:val="6B1D7D5C"/>
    <w:rsid w:val="6B3E7BC1"/>
    <w:rsid w:val="6B484270"/>
    <w:rsid w:val="6B511C15"/>
    <w:rsid w:val="6B8C72ED"/>
    <w:rsid w:val="6B8E0EC5"/>
    <w:rsid w:val="6BBF3A46"/>
    <w:rsid w:val="6BD73400"/>
    <w:rsid w:val="6BDE216D"/>
    <w:rsid w:val="6BFA4EC3"/>
    <w:rsid w:val="6C093098"/>
    <w:rsid w:val="6C1679A8"/>
    <w:rsid w:val="6C1E3E4F"/>
    <w:rsid w:val="6C207ADF"/>
    <w:rsid w:val="6C2A3694"/>
    <w:rsid w:val="6C451E54"/>
    <w:rsid w:val="6C460FF9"/>
    <w:rsid w:val="6C62000F"/>
    <w:rsid w:val="6C692E30"/>
    <w:rsid w:val="6C7C46E4"/>
    <w:rsid w:val="6C857F4B"/>
    <w:rsid w:val="6CA43A4E"/>
    <w:rsid w:val="6CB53367"/>
    <w:rsid w:val="6CBD1D26"/>
    <w:rsid w:val="6CF53236"/>
    <w:rsid w:val="6D301F48"/>
    <w:rsid w:val="6D343E74"/>
    <w:rsid w:val="6D35214F"/>
    <w:rsid w:val="6DB91269"/>
    <w:rsid w:val="6DC301CF"/>
    <w:rsid w:val="6DC319E6"/>
    <w:rsid w:val="6DC4132F"/>
    <w:rsid w:val="6DC94A78"/>
    <w:rsid w:val="6DCE4E21"/>
    <w:rsid w:val="6DD42B0B"/>
    <w:rsid w:val="6DE620FB"/>
    <w:rsid w:val="6DEF3FAE"/>
    <w:rsid w:val="6E1A685D"/>
    <w:rsid w:val="6E1F40EF"/>
    <w:rsid w:val="6E4F2C85"/>
    <w:rsid w:val="6E5A6F8F"/>
    <w:rsid w:val="6E607A3A"/>
    <w:rsid w:val="6E772AA4"/>
    <w:rsid w:val="6E7F4C0E"/>
    <w:rsid w:val="6E994F7F"/>
    <w:rsid w:val="6EA96DC6"/>
    <w:rsid w:val="6EC870D9"/>
    <w:rsid w:val="6EE10C54"/>
    <w:rsid w:val="6F060CE0"/>
    <w:rsid w:val="6F63743F"/>
    <w:rsid w:val="6F702084"/>
    <w:rsid w:val="6FB729CC"/>
    <w:rsid w:val="6FC04DF7"/>
    <w:rsid w:val="6FC702A9"/>
    <w:rsid w:val="6FC97BFA"/>
    <w:rsid w:val="6FCF0D38"/>
    <w:rsid w:val="6FE71AAC"/>
    <w:rsid w:val="7011299B"/>
    <w:rsid w:val="702413DA"/>
    <w:rsid w:val="702C57CD"/>
    <w:rsid w:val="70442C7A"/>
    <w:rsid w:val="70511C60"/>
    <w:rsid w:val="7051461F"/>
    <w:rsid w:val="70531291"/>
    <w:rsid w:val="706A0623"/>
    <w:rsid w:val="708242DC"/>
    <w:rsid w:val="70925CC3"/>
    <w:rsid w:val="70A51CAE"/>
    <w:rsid w:val="70BE0BA8"/>
    <w:rsid w:val="70C42437"/>
    <w:rsid w:val="70D17910"/>
    <w:rsid w:val="70DE6AC5"/>
    <w:rsid w:val="70DF5366"/>
    <w:rsid w:val="710650F2"/>
    <w:rsid w:val="712061A6"/>
    <w:rsid w:val="71395A8D"/>
    <w:rsid w:val="713F3E83"/>
    <w:rsid w:val="714F4B61"/>
    <w:rsid w:val="717B0EAB"/>
    <w:rsid w:val="71A01EA7"/>
    <w:rsid w:val="71AF14E5"/>
    <w:rsid w:val="71D60205"/>
    <w:rsid w:val="71DB0A55"/>
    <w:rsid w:val="71F67086"/>
    <w:rsid w:val="72010BBB"/>
    <w:rsid w:val="72085F46"/>
    <w:rsid w:val="72132245"/>
    <w:rsid w:val="723914F7"/>
    <w:rsid w:val="723E06C0"/>
    <w:rsid w:val="72652969"/>
    <w:rsid w:val="728D3C69"/>
    <w:rsid w:val="72927B17"/>
    <w:rsid w:val="729C52D4"/>
    <w:rsid w:val="72A1415F"/>
    <w:rsid w:val="72C25048"/>
    <w:rsid w:val="72CD03D3"/>
    <w:rsid w:val="72D56C99"/>
    <w:rsid w:val="72D86D2B"/>
    <w:rsid w:val="72F571CC"/>
    <w:rsid w:val="73074932"/>
    <w:rsid w:val="730B182D"/>
    <w:rsid w:val="730E1F3E"/>
    <w:rsid w:val="7324171D"/>
    <w:rsid w:val="732F4131"/>
    <w:rsid w:val="733276AE"/>
    <w:rsid w:val="733C04C3"/>
    <w:rsid w:val="73416542"/>
    <w:rsid w:val="7349783F"/>
    <w:rsid w:val="734F29AC"/>
    <w:rsid w:val="7362164F"/>
    <w:rsid w:val="7381054A"/>
    <w:rsid w:val="739760C6"/>
    <w:rsid w:val="7399244A"/>
    <w:rsid w:val="73B06C63"/>
    <w:rsid w:val="73B17407"/>
    <w:rsid w:val="73C0068E"/>
    <w:rsid w:val="73D5434C"/>
    <w:rsid w:val="73E12130"/>
    <w:rsid w:val="73EC6AD8"/>
    <w:rsid w:val="73FA16BF"/>
    <w:rsid w:val="741D598E"/>
    <w:rsid w:val="741F60B3"/>
    <w:rsid w:val="74384279"/>
    <w:rsid w:val="744E3681"/>
    <w:rsid w:val="74500629"/>
    <w:rsid w:val="74547934"/>
    <w:rsid w:val="7454796E"/>
    <w:rsid w:val="745E7B56"/>
    <w:rsid w:val="746358A1"/>
    <w:rsid w:val="746B7655"/>
    <w:rsid w:val="746F6E82"/>
    <w:rsid w:val="748061DC"/>
    <w:rsid w:val="749A47BF"/>
    <w:rsid w:val="74A81878"/>
    <w:rsid w:val="74C26991"/>
    <w:rsid w:val="74CE479C"/>
    <w:rsid w:val="74DC0D36"/>
    <w:rsid w:val="74DF6386"/>
    <w:rsid w:val="74E86D50"/>
    <w:rsid w:val="74EC2851"/>
    <w:rsid w:val="74EE3D72"/>
    <w:rsid w:val="74F17E67"/>
    <w:rsid w:val="74F942CD"/>
    <w:rsid w:val="752D56A0"/>
    <w:rsid w:val="75386B14"/>
    <w:rsid w:val="7549308F"/>
    <w:rsid w:val="754B5037"/>
    <w:rsid w:val="75507C38"/>
    <w:rsid w:val="75520D65"/>
    <w:rsid w:val="75575FE7"/>
    <w:rsid w:val="75727B32"/>
    <w:rsid w:val="75816C7E"/>
    <w:rsid w:val="75967F05"/>
    <w:rsid w:val="759A40AA"/>
    <w:rsid w:val="75B00501"/>
    <w:rsid w:val="75B74ABF"/>
    <w:rsid w:val="75C61B74"/>
    <w:rsid w:val="75D0643C"/>
    <w:rsid w:val="75D640B1"/>
    <w:rsid w:val="7601057E"/>
    <w:rsid w:val="76143C00"/>
    <w:rsid w:val="76277FE4"/>
    <w:rsid w:val="76286091"/>
    <w:rsid w:val="7629652D"/>
    <w:rsid w:val="76344A7E"/>
    <w:rsid w:val="76423AC1"/>
    <w:rsid w:val="7660684F"/>
    <w:rsid w:val="766F326F"/>
    <w:rsid w:val="767B6BE7"/>
    <w:rsid w:val="76954707"/>
    <w:rsid w:val="769A0448"/>
    <w:rsid w:val="76A950A4"/>
    <w:rsid w:val="76B71077"/>
    <w:rsid w:val="76C84BF7"/>
    <w:rsid w:val="76D81C5D"/>
    <w:rsid w:val="77015C50"/>
    <w:rsid w:val="7730010E"/>
    <w:rsid w:val="77627C55"/>
    <w:rsid w:val="77895EFF"/>
    <w:rsid w:val="779E6D17"/>
    <w:rsid w:val="77C123FB"/>
    <w:rsid w:val="77C83B30"/>
    <w:rsid w:val="77D42B06"/>
    <w:rsid w:val="77E316B8"/>
    <w:rsid w:val="77E912C9"/>
    <w:rsid w:val="77F14741"/>
    <w:rsid w:val="78061362"/>
    <w:rsid w:val="780A57FF"/>
    <w:rsid w:val="78163CF6"/>
    <w:rsid w:val="782C5DDA"/>
    <w:rsid w:val="78482494"/>
    <w:rsid w:val="78605A1D"/>
    <w:rsid w:val="78911745"/>
    <w:rsid w:val="789D0885"/>
    <w:rsid w:val="78AA6CAB"/>
    <w:rsid w:val="78B305EE"/>
    <w:rsid w:val="78E555F8"/>
    <w:rsid w:val="78E8332F"/>
    <w:rsid w:val="78EA5F72"/>
    <w:rsid w:val="78FD6FEC"/>
    <w:rsid w:val="792156DC"/>
    <w:rsid w:val="79345852"/>
    <w:rsid w:val="79380C37"/>
    <w:rsid w:val="794252F7"/>
    <w:rsid w:val="795C3E59"/>
    <w:rsid w:val="7987333B"/>
    <w:rsid w:val="79DA5E08"/>
    <w:rsid w:val="79E807F2"/>
    <w:rsid w:val="79E815AD"/>
    <w:rsid w:val="79F04D31"/>
    <w:rsid w:val="79F33859"/>
    <w:rsid w:val="79F54B9D"/>
    <w:rsid w:val="79F8493B"/>
    <w:rsid w:val="7A1D5C6F"/>
    <w:rsid w:val="7A2843FF"/>
    <w:rsid w:val="7A312487"/>
    <w:rsid w:val="7A367C63"/>
    <w:rsid w:val="7A3950F4"/>
    <w:rsid w:val="7A3B5BA3"/>
    <w:rsid w:val="7A471595"/>
    <w:rsid w:val="7A4D0B3F"/>
    <w:rsid w:val="7A582EB0"/>
    <w:rsid w:val="7A5D24E2"/>
    <w:rsid w:val="7A817156"/>
    <w:rsid w:val="7A884C2D"/>
    <w:rsid w:val="7AC06FDF"/>
    <w:rsid w:val="7AD23FC9"/>
    <w:rsid w:val="7ADB42D2"/>
    <w:rsid w:val="7AE073E6"/>
    <w:rsid w:val="7AEF5388"/>
    <w:rsid w:val="7AFC4C8F"/>
    <w:rsid w:val="7B135586"/>
    <w:rsid w:val="7B2B0CE9"/>
    <w:rsid w:val="7B3C0079"/>
    <w:rsid w:val="7B513537"/>
    <w:rsid w:val="7B562662"/>
    <w:rsid w:val="7B605F0B"/>
    <w:rsid w:val="7B6A4FA4"/>
    <w:rsid w:val="7B7436B4"/>
    <w:rsid w:val="7B790EA2"/>
    <w:rsid w:val="7B7B26DE"/>
    <w:rsid w:val="7BA2010D"/>
    <w:rsid w:val="7BBA0FB3"/>
    <w:rsid w:val="7BBC66C4"/>
    <w:rsid w:val="7BCE6DA3"/>
    <w:rsid w:val="7BEB2D3A"/>
    <w:rsid w:val="7BF9338B"/>
    <w:rsid w:val="7C1E431F"/>
    <w:rsid w:val="7C2536FA"/>
    <w:rsid w:val="7C2F2FA9"/>
    <w:rsid w:val="7C4A6C7A"/>
    <w:rsid w:val="7C5F29ED"/>
    <w:rsid w:val="7C627FE7"/>
    <w:rsid w:val="7C643277"/>
    <w:rsid w:val="7C703CC8"/>
    <w:rsid w:val="7C806443"/>
    <w:rsid w:val="7C903FE4"/>
    <w:rsid w:val="7C90431A"/>
    <w:rsid w:val="7C9355A1"/>
    <w:rsid w:val="7CA3598B"/>
    <w:rsid w:val="7CA93CC3"/>
    <w:rsid w:val="7CBC7EF1"/>
    <w:rsid w:val="7CDD79F7"/>
    <w:rsid w:val="7CE63167"/>
    <w:rsid w:val="7CF44AE0"/>
    <w:rsid w:val="7D2028D0"/>
    <w:rsid w:val="7D2B5DBE"/>
    <w:rsid w:val="7D3A3095"/>
    <w:rsid w:val="7D4C2175"/>
    <w:rsid w:val="7D4E5BD5"/>
    <w:rsid w:val="7D502E16"/>
    <w:rsid w:val="7D61389F"/>
    <w:rsid w:val="7D6B6B1E"/>
    <w:rsid w:val="7D6F0434"/>
    <w:rsid w:val="7D840546"/>
    <w:rsid w:val="7D85221A"/>
    <w:rsid w:val="7D943DA2"/>
    <w:rsid w:val="7DB13AE4"/>
    <w:rsid w:val="7DC315AC"/>
    <w:rsid w:val="7DF0761B"/>
    <w:rsid w:val="7E0203E4"/>
    <w:rsid w:val="7E0D40A4"/>
    <w:rsid w:val="7E0F2BD6"/>
    <w:rsid w:val="7E124128"/>
    <w:rsid w:val="7E2D3359"/>
    <w:rsid w:val="7E64696B"/>
    <w:rsid w:val="7E646C00"/>
    <w:rsid w:val="7E8304F7"/>
    <w:rsid w:val="7E9863FC"/>
    <w:rsid w:val="7EA30CFC"/>
    <w:rsid w:val="7EA95FE7"/>
    <w:rsid w:val="7EAB27D2"/>
    <w:rsid w:val="7EAF4CFA"/>
    <w:rsid w:val="7EBD617D"/>
    <w:rsid w:val="7ECC4EC3"/>
    <w:rsid w:val="7ECD2B1B"/>
    <w:rsid w:val="7ECE1357"/>
    <w:rsid w:val="7ED64BB5"/>
    <w:rsid w:val="7EE652A1"/>
    <w:rsid w:val="7EF42A2E"/>
    <w:rsid w:val="7F06158D"/>
    <w:rsid w:val="7F152E71"/>
    <w:rsid w:val="7F203377"/>
    <w:rsid w:val="7F2273D5"/>
    <w:rsid w:val="7F4852FF"/>
    <w:rsid w:val="7F4C26ED"/>
    <w:rsid w:val="7F527366"/>
    <w:rsid w:val="7F550482"/>
    <w:rsid w:val="7F725B8E"/>
    <w:rsid w:val="7F736048"/>
    <w:rsid w:val="7F8854B2"/>
    <w:rsid w:val="7F8F3ED1"/>
    <w:rsid w:val="7F90515F"/>
    <w:rsid w:val="7F9C4BAF"/>
    <w:rsid w:val="7FAF0DB4"/>
    <w:rsid w:val="7FB756FA"/>
    <w:rsid w:val="7FBC148A"/>
    <w:rsid w:val="7FC2622F"/>
    <w:rsid w:val="7FCD59FE"/>
    <w:rsid w:val="7FD20CBF"/>
    <w:rsid w:val="7FE13511"/>
    <w:rsid w:val="7FE726D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99"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99"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420" w:firstLineChars="200"/>
      <w:jc w:val="both"/>
    </w:pPr>
    <w:rPr>
      <w:rFonts w:ascii="Times New Roman" w:hAnsi="Times New Roman" w:eastAsia="仿宋_GB2312" w:cstheme="minorBidi"/>
      <w:kern w:val="2"/>
      <w:sz w:val="24"/>
      <w:szCs w:val="24"/>
      <w:lang w:val="en-US" w:eastAsia="zh-CN" w:bidi="ar-SA"/>
    </w:rPr>
  </w:style>
  <w:style w:type="paragraph" w:styleId="2">
    <w:name w:val="heading 1"/>
    <w:basedOn w:val="1"/>
    <w:next w:val="1"/>
    <w:link w:val="33"/>
    <w:qFormat/>
    <w:uiPriority w:val="0"/>
    <w:pPr>
      <w:keepNext/>
      <w:keepLines/>
      <w:ind w:firstLine="0" w:firstLineChars="0"/>
      <w:jc w:val="center"/>
      <w:outlineLvl w:val="0"/>
    </w:pPr>
    <w:rPr>
      <w:b/>
      <w:kern w:val="44"/>
      <w:sz w:val="44"/>
      <w:szCs w:val="44"/>
    </w:rPr>
  </w:style>
  <w:style w:type="paragraph" w:styleId="3">
    <w:name w:val="heading 2"/>
    <w:basedOn w:val="1"/>
    <w:next w:val="4"/>
    <w:link w:val="32"/>
    <w:unhideWhenUsed/>
    <w:qFormat/>
    <w:uiPriority w:val="0"/>
    <w:pPr>
      <w:keepLines/>
      <w:ind w:firstLine="0" w:firstLineChars="0"/>
      <w:jc w:val="left"/>
      <w:outlineLvl w:val="1"/>
    </w:pPr>
    <w:rPr>
      <w:b/>
      <w:sz w:val="36"/>
    </w:rPr>
  </w:style>
  <w:style w:type="paragraph" w:styleId="5">
    <w:name w:val="heading 3"/>
    <w:basedOn w:val="1"/>
    <w:next w:val="1"/>
    <w:link w:val="39"/>
    <w:unhideWhenUsed/>
    <w:qFormat/>
    <w:uiPriority w:val="0"/>
    <w:pPr>
      <w:keepLines/>
      <w:ind w:firstLine="0" w:firstLineChars="0"/>
      <w:jc w:val="left"/>
      <w:outlineLvl w:val="2"/>
    </w:pPr>
    <w:rPr>
      <w:b/>
      <w:sz w:val="30"/>
    </w:rPr>
  </w:style>
  <w:style w:type="paragraph" w:styleId="6">
    <w:name w:val="heading 4"/>
    <w:basedOn w:val="1"/>
    <w:next w:val="1"/>
    <w:link w:val="38"/>
    <w:unhideWhenUsed/>
    <w:qFormat/>
    <w:uiPriority w:val="0"/>
    <w:pPr>
      <w:keepNext/>
      <w:keepLines/>
      <w:ind w:firstLine="0" w:firstLineChars="0"/>
      <w:jc w:val="left"/>
      <w:outlineLvl w:val="3"/>
    </w:pPr>
    <w:rPr>
      <w:b/>
    </w:rPr>
  </w:style>
  <w:style w:type="paragraph" w:styleId="7">
    <w:name w:val="heading 6"/>
    <w:basedOn w:val="1"/>
    <w:next w:val="1"/>
    <w:unhideWhenUsed/>
    <w:qFormat/>
    <w:uiPriority w:val="0"/>
    <w:pPr>
      <w:keepNext/>
      <w:keepLines/>
      <w:spacing w:line="240" w:lineRule="auto"/>
      <w:ind w:firstLine="0" w:firstLineChars="0"/>
      <w:jc w:val="center"/>
      <w:outlineLvl w:val="5"/>
    </w:pPr>
    <w:rPr>
      <w:sz w:val="18"/>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4">
    <w:name w:val="Normal Indent"/>
    <w:basedOn w:val="1"/>
    <w:unhideWhenUsed/>
    <w:qFormat/>
    <w:uiPriority w:val="0"/>
    <w:pPr>
      <w:ind w:firstLine="420"/>
    </w:pPr>
  </w:style>
  <w:style w:type="paragraph" w:styleId="8">
    <w:name w:val="caption"/>
    <w:basedOn w:val="1"/>
    <w:next w:val="1"/>
    <w:qFormat/>
    <w:uiPriority w:val="99"/>
    <w:pPr>
      <w:spacing w:line="240" w:lineRule="auto"/>
      <w:ind w:firstLine="0" w:firstLineChars="0"/>
    </w:pPr>
    <w:rPr>
      <w:rFonts w:ascii="Times New Roman" w:hAnsi="Times New Roman"/>
      <w:b/>
      <w:sz w:val="21"/>
    </w:rPr>
  </w:style>
  <w:style w:type="paragraph" w:styleId="9">
    <w:name w:val="Document Map"/>
    <w:basedOn w:val="1"/>
    <w:link w:val="68"/>
    <w:qFormat/>
    <w:uiPriority w:val="0"/>
    <w:rPr>
      <w:rFonts w:ascii="宋体" w:eastAsia="宋体"/>
      <w:sz w:val="18"/>
      <w:szCs w:val="18"/>
    </w:rPr>
  </w:style>
  <w:style w:type="paragraph" w:styleId="10">
    <w:name w:val="annotation text"/>
    <w:basedOn w:val="1"/>
    <w:link w:val="69"/>
    <w:qFormat/>
    <w:uiPriority w:val="0"/>
    <w:pPr>
      <w:jc w:val="left"/>
    </w:pPr>
  </w:style>
  <w:style w:type="paragraph" w:styleId="11">
    <w:name w:val="Body Text"/>
    <w:basedOn w:val="1"/>
    <w:next w:val="1"/>
    <w:qFormat/>
    <w:uiPriority w:val="0"/>
  </w:style>
  <w:style w:type="paragraph" w:styleId="12">
    <w:name w:val="Body Text Indent"/>
    <w:basedOn w:val="1"/>
    <w:next w:val="1"/>
    <w:qFormat/>
    <w:uiPriority w:val="0"/>
    <w:pPr>
      <w:spacing w:after="120"/>
      <w:ind w:left="420" w:leftChars="200"/>
    </w:pPr>
  </w:style>
  <w:style w:type="paragraph" w:styleId="13">
    <w:name w:val="Plain Text"/>
    <w:basedOn w:val="1"/>
    <w:qFormat/>
    <w:uiPriority w:val="0"/>
    <w:rPr>
      <w:kern w:val="2"/>
      <w:sz w:val="28"/>
    </w:rPr>
  </w:style>
  <w:style w:type="paragraph" w:styleId="14">
    <w:name w:val="Body Text Indent 2"/>
    <w:basedOn w:val="1"/>
    <w:qFormat/>
    <w:uiPriority w:val="0"/>
    <w:pPr>
      <w:ind w:firstLine="560"/>
    </w:pPr>
  </w:style>
  <w:style w:type="paragraph" w:styleId="15">
    <w:name w:val="Balloon Text"/>
    <w:basedOn w:val="1"/>
    <w:link w:val="71"/>
    <w:qFormat/>
    <w:uiPriority w:val="0"/>
    <w:pPr>
      <w:spacing w:line="240" w:lineRule="auto"/>
    </w:pPr>
    <w:rPr>
      <w:sz w:val="18"/>
      <w:szCs w:val="18"/>
    </w:rPr>
  </w:style>
  <w:style w:type="paragraph" w:styleId="16">
    <w:name w:val="footer"/>
    <w:basedOn w:val="1"/>
    <w:qFormat/>
    <w:uiPriority w:val="0"/>
    <w:pPr>
      <w:tabs>
        <w:tab w:val="center" w:pos="4153"/>
        <w:tab w:val="right" w:pos="8306"/>
      </w:tabs>
      <w:snapToGrid w:val="0"/>
      <w:jc w:val="left"/>
    </w:pPr>
    <w:rPr>
      <w:sz w:val="18"/>
    </w:rPr>
  </w:style>
  <w:style w:type="paragraph" w:styleId="1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8">
    <w:name w:val="toc 1"/>
    <w:basedOn w:val="1"/>
    <w:next w:val="1"/>
    <w:qFormat/>
    <w:uiPriority w:val="0"/>
  </w:style>
  <w:style w:type="paragraph" w:styleId="19">
    <w:name w:val="toc 2"/>
    <w:basedOn w:val="1"/>
    <w:next w:val="1"/>
    <w:qFormat/>
    <w:uiPriority w:val="0"/>
    <w:pPr>
      <w:ind w:left="420" w:leftChars="200"/>
    </w:pPr>
  </w:style>
  <w:style w:type="paragraph" w:styleId="20">
    <w:name w:val="Body Text 2"/>
    <w:basedOn w:val="1"/>
    <w:next w:val="11"/>
    <w:semiHidden/>
    <w:qFormat/>
    <w:uiPriority w:val="99"/>
    <w:pPr>
      <w:widowControl w:val="0"/>
      <w:spacing w:line="280" w:lineRule="exact"/>
      <w:ind w:firstLine="600"/>
    </w:pPr>
    <w:rPr>
      <w:rFonts w:ascii="宋体" w:hAnsi="宋体" w:cs="Times New Roman"/>
      <w:sz w:val="18"/>
      <w:szCs w:val="28"/>
    </w:rPr>
  </w:style>
  <w:style w:type="paragraph" w:styleId="21">
    <w:name w:val="Normal (Web)"/>
    <w:basedOn w:val="1"/>
    <w:qFormat/>
    <w:uiPriority w:val="0"/>
    <w:pPr>
      <w:jc w:val="left"/>
    </w:pPr>
    <w:rPr>
      <w:rFonts w:cs="Times New Roman"/>
      <w:kern w:val="0"/>
    </w:rPr>
  </w:style>
  <w:style w:type="paragraph" w:styleId="22">
    <w:name w:val="annotation subject"/>
    <w:basedOn w:val="10"/>
    <w:next w:val="10"/>
    <w:link w:val="70"/>
    <w:qFormat/>
    <w:uiPriority w:val="0"/>
    <w:rPr>
      <w:b/>
      <w:bCs/>
    </w:rPr>
  </w:style>
  <w:style w:type="paragraph" w:styleId="23">
    <w:name w:val="Body Text First Indent"/>
    <w:basedOn w:val="11"/>
    <w:next w:val="1"/>
    <w:unhideWhenUsed/>
    <w:qFormat/>
    <w:uiPriority w:val="99"/>
    <w:pPr>
      <w:ind w:firstLine="420" w:firstLineChars="100"/>
    </w:pPr>
  </w:style>
  <w:style w:type="paragraph" w:styleId="24">
    <w:name w:val="Body Text First Indent 2"/>
    <w:basedOn w:val="1"/>
    <w:next w:val="1"/>
    <w:qFormat/>
    <w:uiPriority w:val="0"/>
    <w:pPr>
      <w:ind w:left="0"/>
    </w:pPr>
  </w:style>
  <w:style w:type="table" w:styleId="26">
    <w:name w:val="Table Grid"/>
    <w:basedOn w:val="2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8">
    <w:name w:val="page number"/>
    <w:basedOn w:val="27"/>
    <w:qFormat/>
    <w:uiPriority w:val="0"/>
  </w:style>
  <w:style w:type="character" w:styleId="29">
    <w:name w:val="FollowedHyperlink"/>
    <w:basedOn w:val="27"/>
    <w:qFormat/>
    <w:uiPriority w:val="0"/>
    <w:rPr>
      <w:color w:val="666464"/>
      <w:u w:val="none"/>
    </w:rPr>
  </w:style>
  <w:style w:type="character" w:styleId="30">
    <w:name w:val="Hyperlink"/>
    <w:basedOn w:val="27"/>
    <w:qFormat/>
    <w:uiPriority w:val="0"/>
    <w:rPr>
      <w:color w:val="666464"/>
      <w:u w:val="none"/>
    </w:rPr>
  </w:style>
  <w:style w:type="character" w:styleId="31">
    <w:name w:val="annotation reference"/>
    <w:basedOn w:val="27"/>
    <w:qFormat/>
    <w:uiPriority w:val="0"/>
    <w:rPr>
      <w:sz w:val="21"/>
      <w:szCs w:val="21"/>
    </w:rPr>
  </w:style>
  <w:style w:type="character" w:customStyle="1" w:styleId="32">
    <w:name w:val="标题 2 Char"/>
    <w:link w:val="3"/>
    <w:qFormat/>
    <w:uiPriority w:val="0"/>
    <w:rPr>
      <w:rFonts w:ascii="Times New Roman" w:hAnsi="Times New Roman"/>
      <w:b/>
      <w:sz w:val="36"/>
    </w:rPr>
  </w:style>
  <w:style w:type="character" w:customStyle="1" w:styleId="33">
    <w:name w:val="标题 1 Char"/>
    <w:link w:val="2"/>
    <w:qFormat/>
    <w:uiPriority w:val="0"/>
    <w:rPr>
      <w:rFonts w:ascii="Times New Roman" w:hAnsi="Times New Roman"/>
      <w:b/>
      <w:kern w:val="44"/>
      <w:sz w:val="44"/>
      <w:szCs w:val="44"/>
    </w:rPr>
  </w:style>
  <w:style w:type="paragraph" w:customStyle="1" w:styleId="34">
    <w:name w:val="表格文字"/>
    <w:basedOn w:val="20"/>
    <w:qFormat/>
    <w:uiPriority w:val="0"/>
    <w:pPr>
      <w:spacing w:line="240" w:lineRule="auto"/>
      <w:ind w:firstLine="0" w:firstLineChars="0"/>
      <w:jc w:val="center"/>
    </w:pPr>
    <w:rPr>
      <w:rFonts w:ascii="Times New Roman" w:hAnsi="Times New Roman"/>
      <w:szCs w:val="18"/>
    </w:rPr>
  </w:style>
  <w:style w:type="paragraph" w:customStyle="1" w:styleId="35">
    <w:name w:val="表格标题"/>
    <w:basedOn w:val="11"/>
    <w:next w:val="1"/>
    <w:qFormat/>
    <w:uiPriority w:val="0"/>
    <w:pPr>
      <w:spacing w:before="120" w:line="240" w:lineRule="auto"/>
      <w:ind w:firstLine="0" w:firstLineChars="0"/>
      <w:jc w:val="center"/>
    </w:pPr>
    <w:rPr>
      <w:b/>
      <w:sz w:val="21"/>
    </w:rPr>
  </w:style>
  <w:style w:type="paragraph" w:customStyle="1" w:styleId="36">
    <w:name w:val="表文"/>
    <w:basedOn w:val="1"/>
    <w:next w:val="1"/>
    <w:qFormat/>
    <w:uiPriority w:val="0"/>
    <w:pPr>
      <w:widowControl/>
      <w:adjustRightInd w:val="0"/>
      <w:snapToGrid w:val="0"/>
      <w:spacing w:line="240" w:lineRule="auto"/>
      <w:ind w:firstLine="0" w:firstLineChars="0"/>
      <w:jc w:val="center"/>
    </w:pPr>
    <w:rPr>
      <w:kern w:val="0"/>
      <w:sz w:val="18"/>
      <w:szCs w:val="18"/>
    </w:rPr>
  </w:style>
  <w:style w:type="paragraph" w:customStyle="1" w:styleId="37">
    <w:name w:val="水保正文文字1"/>
    <w:basedOn w:val="1"/>
    <w:qFormat/>
    <w:uiPriority w:val="0"/>
    <w:pPr>
      <w:widowControl w:val="0"/>
      <w:snapToGrid w:val="0"/>
      <w:spacing w:line="360" w:lineRule="auto"/>
      <w:ind w:firstLine="200" w:firstLineChars="200"/>
      <w:jc w:val="both"/>
    </w:pPr>
    <w:rPr>
      <w:rFonts w:ascii="Times New Roman" w:hAnsi="Times New Roman" w:cs="宋体"/>
    </w:rPr>
  </w:style>
  <w:style w:type="character" w:customStyle="1" w:styleId="38">
    <w:name w:val="标题 4 Char"/>
    <w:link w:val="6"/>
    <w:qFormat/>
    <w:uiPriority w:val="0"/>
    <w:rPr>
      <w:b/>
    </w:rPr>
  </w:style>
  <w:style w:type="character" w:customStyle="1" w:styleId="39">
    <w:name w:val="标题 3 Char"/>
    <w:link w:val="5"/>
    <w:qFormat/>
    <w:uiPriority w:val="0"/>
    <w:rPr>
      <w:b/>
      <w:sz w:val="30"/>
    </w:rPr>
  </w:style>
  <w:style w:type="paragraph" w:customStyle="1" w:styleId="40">
    <w:name w:val="正文 首行缩进:  2 字符"/>
    <w:basedOn w:val="1"/>
    <w:next w:val="1"/>
    <w:semiHidden/>
    <w:qFormat/>
    <w:uiPriority w:val="0"/>
    <w:rPr>
      <w:rFonts w:ascii="Times New Roman" w:hAnsi="Times New Roman" w:cs="宋体"/>
      <w:szCs w:val="20"/>
    </w:rPr>
  </w:style>
  <w:style w:type="paragraph" w:customStyle="1" w:styleId="41">
    <w:name w:val="toc 11"/>
    <w:next w:val="1"/>
    <w:qFormat/>
    <w:uiPriority w:val="0"/>
    <w:pPr>
      <w:wordWrap w:val="0"/>
      <w:jc w:val="both"/>
    </w:pPr>
    <w:rPr>
      <w:rFonts w:ascii="Times New Roman" w:hAnsi="Times New Roman" w:eastAsia="宋体" w:cs="Times New Roman"/>
      <w:sz w:val="21"/>
      <w:lang w:val="en-US" w:eastAsia="zh-CN" w:bidi="ar-SA"/>
    </w:rPr>
  </w:style>
  <w:style w:type="paragraph" w:customStyle="1" w:styleId="42">
    <w:name w:val="样式 小四 首行缩进:  0.85 厘米 行距: 固定值 22 磅"/>
    <w:basedOn w:val="1"/>
    <w:qFormat/>
    <w:uiPriority w:val="0"/>
    <w:pPr>
      <w:spacing w:line="440" w:lineRule="exact"/>
      <w:ind w:firstLine="480"/>
    </w:pPr>
    <w:rPr>
      <w:sz w:val="24"/>
    </w:rPr>
  </w:style>
  <w:style w:type="paragraph" w:customStyle="1" w:styleId="43">
    <w:name w:val="Default"/>
    <w:unhideWhenUsed/>
    <w:qFormat/>
    <w:uiPriority w:val="99"/>
    <w:pPr>
      <w:widowControl w:val="0"/>
      <w:autoSpaceDE w:val="0"/>
      <w:autoSpaceDN w:val="0"/>
      <w:adjustRightInd w:val="0"/>
    </w:pPr>
    <w:rPr>
      <w:rFonts w:hint="eastAsia" w:ascii="宋体" w:hAnsi="宋体" w:eastAsia="宋体" w:cs="Times New Roman"/>
      <w:color w:val="000000"/>
      <w:sz w:val="24"/>
      <w:lang w:val="en-US" w:eastAsia="zh-CN" w:bidi="ar-SA"/>
    </w:rPr>
  </w:style>
  <w:style w:type="paragraph" w:customStyle="1" w:styleId="44">
    <w:name w:val="正文-欣欣"/>
    <w:basedOn w:val="1"/>
    <w:qFormat/>
    <w:uiPriority w:val="0"/>
    <w:pPr>
      <w:adjustRightInd w:val="0"/>
      <w:ind w:firstLine="200"/>
    </w:pPr>
    <w:rPr>
      <w:rFonts w:hint="eastAsia"/>
      <w:szCs w:val="30"/>
    </w:rPr>
  </w:style>
  <w:style w:type="character" w:customStyle="1" w:styleId="45">
    <w:name w:val="icon-nav-news"/>
    <w:basedOn w:val="27"/>
    <w:qFormat/>
    <w:uiPriority w:val="0"/>
  </w:style>
  <w:style w:type="character" w:customStyle="1" w:styleId="46">
    <w:name w:val="icon-nav-active"/>
    <w:basedOn w:val="27"/>
    <w:qFormat/>
    <w:uiPriority w:val="0"/>
  </w:style>
  <w:style w:type="character" w:customStyle="1" w:styleId="47">
    <w:name w:val="icon-01"/>
    <w:basedOn w:val="27"/>
    <w:qFormat/>
    <w:uiPriority w:val="0"/>
  </w:style>
  <w:style w:type="character" w:customStyle="1" w:styleId="48">
    <w:name w:val="icon-nav-service"/>
    <w:basedOn w:val="27"/>
    <w:qFormat/>
    <w:uiPriority w:val="0"/>
  </w:style>
  <w:style w:type="character" w:customStyle="1" w:styleId="49">
    <w:name w:val="icon-02"/>
    <w:basedOn w:val="27"/>
    <w:qFormat/>
    <w:uiPriority w:val="0"/>
  </w:style>
  <w:style w:type="character" w:customStyle="1" w:styleId="50">
    <w:name w:val="icon-nav-govopen"/>
    <w:basedOn w:val="27"/>
    <w:qFormat/>
    <w:uiPriority w:val="0"/>
  </w:style>
  <w:style w:type="character" w:customStyle="1" w:styleId="51">
    <w:name w:val="st"/>
    <w:basedOn w:val="27"/>
    <w:qFormat/>
    <w:uiPriority w:val="0"/>
    <w:rPr>
      <w:color w:val="999999"/>
    </w:rPr>
  </w:style>
  <w:style w:type="character" w:customStyle="1" w:styleId="52">
    <w:name w:val="zl_txt"/>
    <w:basedOn w:val="27"/>
    <w:qFormat/>
    <w:uiPriority w:val="0"/>
    <w:rPr>
      <w:color w:val="FFFFFF"/>
    </w:rPr>
  </w:style>
  <w:style w:type="character" w:customStyle="1" w:styleId="53">
    <w:name w:val="icon-nav-invest"/>
    <w:basedOn w:val="27"/>
    <w:qFormat/>
    <w:uiPriority w:val="0"/>
  </w:style>
  <w:style w:type="character" w:customStyle="1" w:styleId="54">
    <w:name w:val="icon-nav-about"/>
    <w:basedOn w:val="27"/>
    <w:qFormat/>
    <w:uiPriority w:val="0"/>
  </w:style>
  <w:style w:type="character" w:customStyle="1" w:styleId="55">
    <w:name w:val="icon-nav-travel"/>
    <w:basedOn w:val="27"/>
    <w:qFormat/>
    <w:uiPriority w:val="0"/>
  </w:style>
  <w:style w:type="character" w:customStyle="1" w:styleId="56">
    <w:name w:val="font01"/>
    <w:basedOn w:val="27"/>
    <w:qFormat/>
    <w:uiPriority w:val="0"/>
    <w:rPr>
      <w:rFonts w:hint="eastAsia" w:ascii="宋体" w:hAnsi="宋体" w:eastAsia="宋体" w:cs="宋体"/>
      <w:color w:val="000000"/>
      <w:sz w:val="20"/>
      <w:szCs w:val="20"/>
      <w:u w:val="none"/>
    </w:rPr>
  </w:style>
  <w:style w:type="character" w:customStyle="1" w:styleId="57">
    <w:name w:val="font51"/>
    <w:basedOn w:val="27"/>
    <w:qFormat/>
    <w:uiPriority w:val="0"/>
    <w:rPr>
      <w:rFonts w:hint="eastAsia" w:ascii="宋体" w:hAnsi="宋体" w:eastAsia="宋体" w:cs="宋体"/>
      <w:color w:val="000000"/>
      <w:sz w:val="18"/>
      <w:szCs w:val="18"/>
      <w:u w:val="none"/>
    </w:rPr>
  </w:style>
  <w:style w:type="character" w:customStyle="1" w:styleId="58">
    <w:name w:val="font31"/>
    <w:basedOn w:val="27"/>
    <w:qFormat/>
    <w:uiPriority w:val="0"/>
    <w:rPr>
      <w:rFonts w:hint="default" w:ascii="Times New Roman" w:hAnsi="Times New Roman" w:cs="Times New Roman"/>
      <w:color w:val="000000"/>
      <w:sz w:val="18"/>
      <w:szCs w:val="18"/>
      <w:u w:val="none"/>
    </w:rPr>
  </w:style>
  <w:style w:type="character" w:customStyle="1" w:styleId="59">
    <w:name w:val="font21"/>
    <w:basedOn w:val="27"/>
    <w:qFormat/>
    <w:uiPriority w:val="0"/>
    <w:rPr>
      <w:rFonts w:hint="default" w:ascii="Times New Roman" w:hAnsi="Times New Roman" w:cs="Times New Roman"/>
      <w:color w:val="000000"/>
      <w:sz w:val="18"/>
      <w:szCs w:val="18"/>
      <w:u w:val="none"/>
      <w:vertAlign w:val="superscript"/>
    </w:rPr>
  </w:style>
  <w:style w:type="paragraph" w:styleId="60">
    <w:name w:val="List Paragraph"/>
    <w:basedOn w:val="1"/>
    <w:qFormat/>
    <w:uiPriority w:val="34"/>
  </w:style>
  <w:style w:type="character" w:customStyle="1" w:styleId="61">
    <w:name w:val="font41"/>
    <w:basedOn w:val="27"/>
    <w:qFormat/>
    <w:uiPriority w:val="0"/>
    <w:rPr>
      <w:rFonts w:hint="eastAsia" w:ascii="宋体" w:hAnsi="宋体" w:eastAsia="宋体" w:cs="宋体"/>
      <w:color w:val="000000"/>
      <w:sz w:val="18"/>
      <w:szCs w:val="18"/>
      <w:u w:val="none"/>
    </w:rPr>
  </w:style>
  <w:style w:type="character" w:customStyle="1" w:styleId="62">
    <w:name w:val="font91"/>
    <w:basedOn w:val="27"/>
    <w:qFormat/>
    <w:uiPriority w:val="0"/>
    <w:rPr>
      <w:rFonts w:hint="eastAsia" w:ascii="宋体" w:hAnsi="宋体" w:eastAsia="宋体" w:cs="宋体"/>
      <w:color w:val="FF0000"/>
      <w:sz w:val="18"/>
      <w:szCs w:val="18"/>
      <w:u w:val="none"/>
    </w:rPr>
  </w:style>
  <w:style w:type="character" w:customStyle="1" w:styleId="63">
    <w:name w:val="font81"/>
    <w:basedOn w:val="27"/>
    <w:qFormat/>
    <w:uiPriority w:val="0"/>
    <w:rPr>
      <w:rFonts w:hint="default" w:ascii="Times New Roman" w:hAnsi="Times New Roman" w:cs="Times New Roman"/>
      <w:color w:val="FF0000"/>
      <w:sz w:val="18"/>
      <w:szCs w:val="18"/>
      <w:u w:val="none"/>
    </w:rPr>
  </w:style>
  <w:style w:type="character" w:customStyle="1" w:styleId="64">
    <w:name w:val="font71"/>
    <w:basedOn w:val="27"/>
    <w:qFormat/>
    <w:uiPriority w:val="0"/>
    <w:rPr>
      <w:rFonts w:hint="eastAsia" w:ascii="宋体" w:hAnsi="宋体" w:eastAsia="宋体" w:cs="宋体"/>
      <w:color w:val="FF0000"/>
      <w:sz w:val="18"/>
      <w:szCs w:val="18"/>
      <w:u w:val="none"/>
    </w:rPr>
  </w:style>
  <w:style w:type="character" w:customStyle="1" w:styleId="65">
    <w:name w:val="font11"/>
    <w:basedOn w:val="27"/>
    <w:qFormat/>
    <w:uiPriority w:val="0"/>
    <w:rPr>
      <w:rFonts w:hint="eastAsia" w:ascii="宋体" w:hAnsi="宋体" w:eastAsia="宋体" w:cs="宋体"/>
      <w:color w:val="000000"/>
      <w:sz w:val="18"/>
      <w:szCs w:val="18"/>
      <w:u w:val="none"/>
    </w:rPr>
  </w:style>
  <w:style w:type="character" w:customStyle="1" w:styleId="66">
    <w:name w:val="font61"/>
    <w:basedOn w:val="27"/>
    <w:qFormat/>
    <w:uiPriority w:val="0"/>
    <w:rPr>
      <w:rFonts w:hint="default" w:ascii="Times New Roman" w:hAnsi="Times New Roman" w:cs="Times New Roman"/>
      <w:color w:val="000000"/>
      <w:sz w:val="18"/>
      <w:szCs w:val="18"/>
      <w:u w:val="none"/>
    </w:rPr>
  </w:style>
  <w:style w:type="character" w:customStyle="1" w:styleId="67">
    <w:name w:val="font101"/>
    <w:basedOn w:val="27"/>
    <w:qFormat/>
    <w:uiPriority w:val="0"/>
    <w:rPr>
      <w:rFonts w:hint="default" w:ascii="Times New Roman" w:hAnsi="Times New Roman" w:cs="Times New Roman"/>
      <w:color w:val="000000"/>
      <w:sz w:val="18"/>
      <w:szCs w:val="18"/>
      <w:u w:val="none"/>
      <w:vertAlign w:val="superscript"/>
    </w:rPr>
  </w:style>
  <w:style w:type="character" w:customStyle="1" w:styleId="68">
    <w:name w:val="文档结构图 Char"/>
    <w:basedOn w:val="27"/>
    <w:link w:val="9"/>
    <w:qFormat/>
    <w:uiPriority w:val="0"/>
    <w:rPr>
      <w:rFonts w:ascii="宋体" w:cstheme="minorBidi"/>
      <w:kern w:val="2"/>
      <w:sz w:val="18"/>
      <w:szCs w:val="18"/>
    </w:rPr>
  </w:style>
  <w:style w:type="character" w:customStyle="1" w:styleId="69">
    <w:name w:val="批注文字 Char"/>
    <w:basedOn w:val="27"/>
    <w:link w:val="10"/>
    <w:qFormat/>
    <w:uiPriority w:val="0"/>
    <w:rPr>
      <w:rFonts w:eastAsia="仿宋_GB2312" w:cstheme="minorBidi"/>
      <w:kern w:val="2"/>
      <w:sz w:val="24"/>
      <w:szCs w:val="24"/>
    </w:rPr>
  </w:style>
  <w:style w:type="character" w:customStyle="1" w:styleId="70">
    <w:name w:val="批注主题 Char"/>
    <w:basedOn w:val="69"/>
    <w:link w:val="22"/>
    <w:qFormat/>
    <w:uiPriority w:val="0"/>
    <w:rPr>
      <w:rFonts w:eastAsia="仿宋_GB2312" w:cstheme="minorBidi"/>
      <w:b/>
      <w:bCs/>
      <w:kern w:val="2"/>
      <w:sz w:val="24"/>
      <w:szCs w:val="24"/>
    </w:rPr>
  </w:style>
  <w:style w:type="character" w:customStyle="1" w:styleId="71">
    <w:name w:val="批注框文本 Char"/>
    <w:basedOn w:val="27"/>
    <w:link w:val="15"/>
    <w:qFormat/>
    <w:uiPriority w:val="0"/>
    <w:rPr>
      <w:rFonts w:eastAsia="仿宋_GB2312" w:cstheme="minorBidi"/>
      <w:kern w:val="2"/>
      <w:sz w:val="18"/>
      <w:szCs w:val="18"/>
    </w:rPr>
  </w:style>
  <w:style w:type="paragraph" w:customStyle="1" w:styleId="72">
    <w:name w:val="Table Paragraph"/>
    <w:basedOn w:val="1"/>
    <w:qFormat/>
    <w:uiPriority w:val="1"/>
  </w:style>
  <w:style w:type="paragraph" w:customStyle="1" w:styleId="73">
    <w:name w:val="正正正文"/>
    <w:basedOn w:val="1"/>
    <w:qFormat/>
    <w:uiPriority w:val="0"/>
    <w:pPr>
      <w:snapToGrid w:val="0"/>
      <w:spacing w:line="460" w:lineRule="exact"/>
      <w:ind w:firstLine="480"/>
    </w:pPr>
    <w:rPr>
      <w:rFonts w:cs="Times New Roman"/>
    </w:rPr>
  </w:style>
  <w:style w:type="paragraph" w:customStyle="1" w:styleId="74">
    <w:name w:val="普通文字 Char Char"/>
    <w:basedOn w:val="1"/>
    <w:next w:val="1"/>
    <w:qFormat/>
    <w:uiPriority w:val="0"/>
    <w:pPr>
      <w:autoSpaceDE w:val="0"/>
      <w:autoSpaceDN w:val="0"/>
      <w:adjustRightInd w:val="0"/>
      <w:spacing w:line="360" w:lineRule="atLeast"/>
      <w:jc w:val="left"/>
    </w:pPr>
    <w:rPr>
      <w:kern w:val="44"/>
      <w:szCs w:val="20"/>
    </w:rPr>
  </w:style>
  <w:style w:type="paragraph" w:customStyle="1" w:styleId="75">
    <w:name w:val="标题c"/>
    <w:basedOn w:val="1"/>
    <w:qFormat/>
    <w:uiPriority w:val="0"/>
    <w:pPr>
      <w:jc w:val="center"/>
    </w:pPr>
    <w:rPr>
      <w:rFonts w:cs="宋体"/>
      <w:b/>
      <w:spacing w:val="40"/>
      <w:w w:val="60"/>
      <w:sz w:val="52"/>
    </w:rPr>
  </w:style>
  <w:style w:type="paragraph" w:customStyle="1" w:styleId="76">
    <w:name w:val="1 正文"/>
    <w:basedOn w:val="1"/>
    <w:qFormat/>
    <w:uiPriority w:val="0"/>
    <w:pPr>
      <w:tabs>
        <w:tab w:val="left" w:pos="3514"/>
      </w:tabs>
      <w:adjustRightInd w:val="0"/>
      <w:snapToGrid w:val="0"/>
      <w:spacing w:line="500" w:lineRule="exact"/>
      <w:ind w:firstLine="200"/>
    </w:pPr>
    <w:rPr>
      <w:rFonts w:cs="Times New Roman"/>
    </w:rPr>
  </w:style>
  <w:style w:type="table" w:customStyle="1" w:styleId="77">
    <w:name w:val="Table Normal1"/>
    <w:unhideWhenUsed/>
    <w:qFormat/>
    <w:uiPriority w:val="2"/>
    <w:pPr>
      <w:widowControl w:val="0"/>
    </w:pPr>
    <w:rPr>
      <w:rFonts w:ascii="Calibri" w:hAnsi="Calibri"/>
      <w:sz w:val="22"/>
      <w:szCs w:val="22"/>
      <w:lang w:eastAsia="en-US"/>
    </w:rPr>
    <w:tblPr>
      <w:tblCellMar>
        <w:top w:w="0" w:type="dxa"/>
        <w:left w:w="0" w:type="dxa"/>
        <w:bottom w:w="0" w:type="dxa"/>
        <w:right w:w="0" w:type="dxa"/>
      </w:tblCellMar>
    </w:tblPr>
  </w:style>
  <w:style w:type="paragraph" w:customStyle="1" w:styleId="78">
    <w:name w:val="表格"/>
    <w:next w:val="1"/>
    <w:qFormat/>
    <w:uiPriority w:val="1"/>
    <w:pPr>
      <w:widowControl w:val="0"/>
      <w:spacing w:line="240" w:lineRule="exact"/>
      <w:jc w:val="center"/>
    </w:pPr>
    <w:rPr>
      <w:rFonts w:ascii="宋体" w:hAnsi="Times New Roman" w:eastAsia="宋体" w:cs="Times New Roman"/>
      <w:sz w:val="21"/>
      <w:szCs w:val="21"/>
      <w:lang w:val="en-US" w:eastAsia="zh-CN" w:bidi="ar-SA"/>
    </w:rPr>
  </w:style>
  <w:style w:type="paragraph" w:customStyle="1" w:styleId="79">
    <w:name w:val="表-头"/>
    <w:basedOn w:val="80"/>
    <w:qFormat/>
    <w:uiPriority w:val="0"/>
    <w:pPr>
      <w:spacing w:before="120" w:after="60" w:line="240" w:lineRule="auto"/>
      <w:ind w:firstLine="0" w:firstLineChars="0"/>
    </w:pPr>
    <w:rPr>
      <w:rFonts w:cs="Times New Roman"/>
      <w:sz w:val="21"/>
      <w:szCs w:val="21"/>
      <w:shd w:val="clear" w:color="auto" w:fill="FFFFFF"/>
    </w:rPr>
  </w:style>
  <w:style w:type="paragraph" w:customStyle="1" w:styleId="80">
    <w:name w:val="表格图片标题"/>
    <w:basedOn w:val="1"/>
    <w:qFormat/>
    <w:uiPriority w:val="0"/>
    <w:pPr>
      <w:jc w:val="center"/>
    </w:pPr>
    <w:rPr>
      <w:rFonts w:cs="宋体"/>
      <w:b/>
      <w:bCs/>
      <w:kern w:val="2"/>
    </w:rPr>
  </w:style>
  <w:style w:type="paragraph" w:customStyle="1" w:styleId="81">
    <w:name w:val="表-格"/>
    <w:basedOn w:val="1"/>
    <w:qFormat/>
    <w:uiPriority w:val="0"/>
    <w:pPr>
      <w:widowControl/>
      <w:spacing w:line="240" w:lineRule="auto"/>
      <w:ind w:firstLine="0" w:firstLineChars="0"/>
      <w:jc w:val="center"/>
    </w:pPr>
    <w:rPr>
      <w:color w:val="000000"/>
      <w:sz w:val="18"/>
      <w:szCs w:val="18"/>
    </w:rPr>
  </w:style>
  <w:style w:type="table" w:customStyle="1" w:styleId="82">
    <w:name w:val="水保正式表格"/>
    <w:basedOn w:val="25"/>
    <w:qFormat/>
    <w:uiPriority w:val="99"/>
    <w:pPr>
      <w:adjustRightInd w:val="0"/>
      <w:snapToGrid w:val="0"/>
      <w:spacing w:before="40" w:after="40"/>
      <w:jc w:val="center"/>
    </w:pPr>
    <w:rPr>
      <w:sz w:val="18"/>
    </w:rPr>
    <w:tblPr>
      <w:jc w:val="center"/>
      <w:tblBorders>
        <w:top w:val="single" w:color="auto" w:sz="12" w:space="0"/>
        <w:bottom w:val="single" w:color="auto" w:sz="12" w:space="0"/>
        <w:insideH w:val="single" w:color="auto" w:sz="4" w:space="0"/>
        <w:insideV w:val="single" w:color="auto" w:sz="4" w:space="0"/>
      </w:tblBorders>
    </w:tblPr>
    <w:trPr>
      <w:jc w:val="center"/>
    </w:trPr>
    <w:tcPr>
      <w:tcMar>
        <w:left w:w="28" w:type="dxa"/>
        <w:right w:w="28" w:type="dxa"/>
      </w:tcMar>
      <w:vAlign w:val="center"/>
    </w:tcPr>
  </w:style>
  <w:style w:type="paragraph" w:customStyle="1" w:styleId="83">
    <w:name w:val="样式 首行缩进:  2 字符"/>
    <w:basedOn w:val="1"/>
    <w:qFormat/>
    <w:uiPriority w:val="0"/>
    <w:pPr>
      <w:spacing w:line="440" w:lineRule="exact"/>
    </w:pPr>
    <w:rPr>
      <w:rFonts w:cs="宋体"/>
    </w:rPr>
  </w:style>
  <w:style w:type="paragraph" w:customStyle="1" w:styleId="84">
    <w:name w:val="表题"/>
    <w:basedOn w:val="1"/>
    <w:qFormat/>
    <w:uiPriority w:val="0"/>
    <w:pPr>
      <w:adjustRightInd w:val="0"/>
      <w:snapToGrid w:val="0"/>
      <w:spacing w:before="156" w:beforeLines="50" w:line="240" w:lineRule="auto"/>
      <w:ind w:firstLine="422"/>
      <w:jc w:val="center"/>
    </w:pPr>
    <w:rPr>
      <w:b/>
      <w:color w:val="000000"/>
      <w:kern w:val="0"/>
      <w:sz w:val="21"/>
      <w:szCs w:val="20"/>
    </w:rPr>
  </w:style>
  <w:style w:type="paragraph" w:styleId="85">
    <w:name w:val="No Spacing"/>
    <w:basedOn w:val="1"/>
    <w:next w:val="1"/>
    <w:qFormat/>
    <w:uiPriority w:val="1"/>
    <w:pPr>
      <w:spacing w:line="240" w:lineRule="exact"/>
      <w:ind w:firstLine="0" w:firstLineChars="0"/>
      <w:jc w:val="center"/>
    </w:pPr>
    <w:rPr>
      <w:sz w:val="18"/>
    </w:rPr>
  </w:style>
  <w:style w:type="table" w:customStyle="1" w:styleId="86">
    <w:name w:val="基本表8"/>
    <w:basedOn w:val="25"/>
    <w:qFormat/>
    <w:uiPriority w:val="99"/>
    <w:pPr>
      <w:spacing w:line="240" w:lineRule="atLeast"/>
      <w:jc w:val="center"/>
    </w:pPr>
    <w:rPr>
      <w:rFonts w:ascii="Times New Roman" w:hAnsi="Times New Roman" w:eastAsia="宋体" w:cs="Times New Roman"/>
      <w:kern w:val="0"/>
      <w:sz w:val="18"/>
      <w:szCs w:val="20"/>
    </w:rPr>
    <w:tblP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left w:w="0" w:type="dxa"/>
        <w:right w:w="0" w:type="dxa"/>
      </w:tblCellMar>
    </w:tblPr>
    <w:tcPr>
      <w:vAlign w:val="center"/>
    </w:tcPr>
  </w:style>
  <w:style w:type="paragraph" w:customStyle="1" w:styleId="87">
    <w:name w:val="不会吧"/>
    <w:basedOn w:val="88"/>
    <w:qFormat/>
    <w:uiPriority w:val="0"/>
    <w:pPr>
      <w:ind w:firstLine="480"/>
    </w:pPr>
    <w:rPr>
      <w:rFonts w:cs="Times New Roman"/>
    </w:rPr>
  </w:style>
  <w:style w:type="paragraph" w:customStyle="1" w:styleId="88">
    <w:name w:val="正文 文本"/>
    <w:basedOn w:val="1"/>
    <w:qFormat/>
    <w:uiPriority w:val="0"/>
    <w:rPr>
      <w:rFonts w:cs="宋体"/>
    </w:rPr>
  </w:style>
  <w:style w:type="paragraph" w:customStyle="1" w:styleId="89">
    <w:name w:val="Body text|2"/>
    <w:basedOn w:val="1"/>
    <w:qFormat/>
    <w:uiPriority w:val="0"/>
    <w:pPr>
      <w:widowControl w:val="0"/>
      <w:shd w:val="clear" w:color="auto" w:fill="auto"/>
      <w:spacing w:line="549" w:lineRule="exact"/>
      <w:ind w:firstLine="520"/>
    </w:pPr>
    <w:rPr>
      <w:rFonts w:ascii="宋体" w:hAnsi="宋体" w:eastAsia="宋体" w:cs="宋体"/>
      <w:sz w:val="28"/>
      <w:szCs w:val="28"/>
      <w:u w:val="none"/>
      <w:shd w:val="clear" w:color="auto" w:fill="auto"/>
      <w:lang w:val="zh-TW" w:eastAsia="zh-TW" w:bidi="zh-TW"/>
    </w:rPr>
  </w:style>
  <w:style w:type="paragraph" w:customStyle="1" w:styleId="90">
    <w:name w:val="Body text|1"/>
    <w:basedOn w:val="1"/>
    <w:qFormat/>
    <w:uiPriority w:val="0"/>
    <w:pPr>
      <w:widowControl w:val="0"/>
      <w:shd w:val="clear" w:color="auto" w:fill="auto"/>
      <w:spacing w:line="480" w:lineRule="auto"/>
      <w:ind w:firstLine="400"/>
    </w:pPr>
    <w:rPr>
      <w:rFonts w:ascii="宋体" w:hAnsi="宋体" w:eastAsia="宋体" w:cs="宋体"/>
      <w:sz w:val="26"/>
      <w:szCs w:val="26"/>
      <w:u w:val="none"/>
      <w:shd w:val="clear" w:color="auto" w:fill="auto"/>
      <w:lang w:val="zh-TW" w:eastAsia="zh-TW" w:bidi="zh-TW"/>
    </w:rPr>
  </w:style>
  <w:style w:type="paragraph" w:customStyle="1" w:styleId="91">
    <w:name w:val="Body text|3"/>
    <w:basedOn w:val="1"/>
    <w:qFormat/>
    <w:uiPriority w:val="0"/>
    <w:pPr>
      <w:widowControl w:val="0"/>
      <w:shd w:val="clear" w:color="auto" w:fill="auto"/>
      <w:spacing w:after="360" w:line="549" w:lineRule="exact"/>
      <w:ind w:firstLine="520"/>
    </w:pPr>
    <w:rPr>
      <w:color w:val="343349"/>
      <w:sz w:val="26"/>
      <w:szCs w:val="26"/>
      <w:u w:val="none"/>
      <w:shd w:val="clear" w:color="auto" w:fill="auto"/>
      <w:lang w:val="zh-TW" w:eastAsia="zh-TW" w:bidi="zh-TW"/>
    </w:rPr>
  </w:style>
  <w:style w:type="paragraph" w:customStyle="1" w:styleId="92">
    <w:name w:val="Table caption|1"/>
    <w:basedOn w:val="1"/>
    <w:qFormat/>
    <w:uiPriority w:val="0"/>
    <w:pPr>
      <w:widowControl w:val="0"/>
      <w:shd w:val="clear" w:color="auto" w:fill="auto"/>
    </w:pPr>
    <w:rPr>
      <w:rFonts w:ascii="宋体" w:hAnsi="宋体" w:eastAsia="宋体" w:cs="宋体"/>
      <w:sz w:val="12"/>
      <w:szCs w:val="12"/>
      <w:u w:val="none"/>
      <w:shd w:val="clear" w:color="auto" w:fill="auto"/>
      <w:lang w:val="zh-TW" w:eastAsia="zh-TW" w:bidi="zh-TW"/>
    </w:rPr>
  </w:style>
  <w:style w:type="paragraph" w:customStyle="1" w:styleId="93">
    <w:name w:val="三级标题-水保"/>
    <w:basedOn w:val="5"/>
    <w:next w:val="1"/>
    <w:qFormat/>
    <w:uiPriority w:val="0"/>
    <w:pPr>
      <w:keepLines w:val="0"/>
      <w:tabs>
        <w:tab w:val="left" w:pos="360"/>
      </w:tabs>
      <w:adjustRightInd/>
      <w:snapToGrid/>
    </w:pPr>
    <w:rPr>
      <w:color w:val="000000"/>
      <w:kern w:val="0"/>
      <w:szCs w:val="22"/>
      <w:lang w:val="zh-CN" w:bidi="en-US"/>
    </w:rPr>
  </w:style>
  <w:style w:type="paragraph" w:customStyle="1" w:styleId="94">
    <w:name w:val="章标题"/>
    <w:basedOn w:val="1"/>
    <w:next w:val="95"/>
    <w:qFormat/>
    <w:uiPriority w:val="0"/>
    <w:pPr>
      <w:widowControl/>
      <w:spacing w:before="158" w:after="153" w:line="323" w:lineRule="atLeast"/>
      <w:ind w:right="-120"/>
      <w:jc w:val="center"/>
    </w:pPr>
    <w:rPr>
      <w:color w:val="FF0000"/>
      <w:sz w:val="18"/>
      <w:szCs w:val="18"/>
    </w:rPr>
  </w:style>
  <w:style w:type="paragraph" w:customStyle="1" w:styleId="95">
    <w:name w:val="节标题"/>
    <w:basedOn w:val="1"/>
    <w:next w:val="1"/>
    <w:qFormat/>
    <w:uiPriority w:val="0"/>
    <w:pPr>
      <w:widowControl/>
      <w:spacing w:line="289" w:lineRule="atLeast"/>
      <w:jc w:val="center"/>
    </w:pPr>
    <w:rPr>
      <w:color w:val="000000"/>
      <w:sz w:val="28"/>
    </w:rPr>
  </w:style>
  <w:style w:type="paragraph" w:customStyle="1" w:styleId="96">
    <w:name w:val="Table Text"/>
    <w:basedOn w:val="1"/>
    <w:semiHidden/>
    <w:qFormat/>
    <w:uiPriority w:val="0"/>
    <w:rPr>
      <w:rFonts w:ascii="FangSong_GB2312" w:hAnsi="FangSong_GB2312" w:eastAsia="FangSong_GB2312" w:cs="FangSong_GB2312"/>
      <w:sz w:val="21"/>
      <w:szCs w:val="21"/>
      <w:lang w:val="en-US" w:eastAsia="en-US" w:bidi="ar-SA"/>
    </w:rPr>
  </w:style>
  <w:style w:type="table" w:customStyle="1" w:styleId="97">
    <w:name w:val="Table Normal"/>
    <w:semiHidden/>
    <w:unhideWhenUsed/>
    <w:qFormat/>
    <w:uiPriority w:val="0"/>
    <w:tblPr>
      <w:tblCellMar>
        <w:top w:w="0" w:type="dxa"/>
        <w:left w:w="0" w:type="dxa"/>
        <w:bottom w:w="0" w:type="dxa"/>
        <w:right w:w="0" w:type="dxa"/>
      </w:tblCellMar>
    </w:tblPr>
  </w:style>
  <w:style w:type="character" w:customStyle="1" w:styleId="98">
    <w:name w:val="font132"/>
    <w:basedOn w:val="27"/>
    <w:qFormat/>
    <w:uiPriority w:val="0"/>
    <w:rPr>
      <w:rFonts w:ascii="仿宋_GB2312" w:eastAsia="仿宋_GB2312" w:cs="仿宋_GB2312"/>
      <w:b/>
      <w:bCs/>
      <w:color w:val="000000"/>
      <w:sz w:val="20"/>
      <w:szCs w:val="20"/>
      <w:u w:val="none"/>
    </w:rPr>
  </w:style>
  <w:style w:type="character" w:customStyle="1" w:styleId="99">
    <w:name w:val="font111"/>
    <w:basedOn w:val="27"/>
    <w:qFormat/>
    <w:uiPriority w:val="0"/>
    <w:rPr>
      <w:rFonts w:hint="eastAsia" w:ascii="仿宋_GB2312" w:eastAsia="仿宋_GB2312" w:cs="仿宋_GB2312"/>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endnotes" Target="endnotes.xml"/><Relationship Id="rId39" Type="http://schemas.openxmlformats.org/officeDocument/2006/relationships/image" Target="media/image15.wmf"/><Relationship Id="rId38" Type="http://schemas.openxmlformats.org/officeDocument/2006/relationships/oleObject" Target="embeddings/oleObject3.bin"/><Relationship Id="rId37" Type="http://schemas.openxmlformats.org/officeDocument/2006/relationships/image" Target="media/image14.wmf"/><Relationship Id="rId36" Type="http://schemas.openxmlformats.org/officeDocument/2006/relationships/oleObject" Target="embeddings/oleObject2.bin"/><Relationship Id="rId35" Type="http://schemas.openxmlformats.org/officeDocument/2006/relationships/image" Target="media/image13.wmf"/><Relationship Id="rId34" Type="http://schemas.openxmlformats.org/officeDocument/2006/relationships/oleObject" Target="embeddings/oleObject1.bin"/><Relationship Id="rId33" Type="http://schemas.openxmlformats.org/officeDocument/2006/relationships/image" Target="media/image12.png"/><Relationship Id="rId32" Type="http://schemas.openxmlformats.org/officeDocument/2006/relationships/image" Target="media/image11.png"/><Relationship Id="rId31" Type="http://schemas.openxmlformats.org/officeDocument/2006/relationships/image" Target="media/image10.png"/><Relationship Id="rId30" Type="http://schemas.openxmlformats.org/officeDocument/2006/relationships/image" Target="media/image9.jpeg"/><Relationship Id="rId3" Type="http://schemas.openxmlformats.org/officeDocument/2006/relationships/footnotes" Target="footnotes.xml"/><Relationship Id="rId29" Type="http://schemas.openxmlformats.org/officeDocument/2006/relationships/image" Target="media/image8.png"/><Relationship Id="rId28" Type="http://schemas.openxmlformats.org/officeDocument/2006/relationships/image" Target="media/image7.png"/><Relationship Id="rId27" Type="http://schemas.openxmlformats.org/officeDocument/2006/relationships/image" Target="media/image6.png"/><Relationship Id="rId26" Type="http://schemas.openxmlformats.org/officeDocument/2006/relationships/image" Target="media/image5.png"/><Relationship Id="rId25" Type="http://schemas.openxmlformats.org/officeDocument/2006/relationships/image" Target="media/image4.png"/><Relationship Id="rId24" Type="http://schemas.openxmlformats.org/officeDocument/2006/relationships/image" Target="media/image3.png"/><Relationship Id="rId23" Type="http://schemas.openxmlformats.org/officeDocument/2006/relationships/image" Target="media/image2.png"/><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header" Target="header11.xml"/><Relationship Id="rId2" Type="http://schemas.openxmlformats.org/officeDocument/2006/relationships/settings" Target="settings.xml"/><Relationship Id="rId19" Type="http://schemas.openxmlformats.org/officeDocument/2006/relationships/header" Target="header10.xml"/><Relationship Id="rId18" Type="http://schemas.openxmlformats.org/officeDocument/2006/relationships/header" Target="header9.xml"/><Relationship Id="rId17" Type="http://schemas.openxmlformats.org/officeDocument/2006/relationships/header" Target="header8.xml"/><Relationship Id="rId16" Type="http://schemas.openxmlformats.org/officeDocument/2006/relationships/header" Target="header7.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59</Pages>
  <Words>12705</Words>
  <Characters>13954</Characters>
  <Lines>383</Lines>
  <Paragraphs>107</Paragraphs>
  <TotalTime>10</TotalTime>
  <ScaleCrop>false</ScaleCrop>
  <LinksUpToDate>false</LinksUpToDate>
  <CharactersWithSpaces>14129</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2019-04-11T03:36:00Z</dcterms:created>
  <dc:creator>寂灭虚无</dc:creator>
  <cp:lastModifiedBy>红衣踏黄鹤</cp:lastModifiedBy>
  <dcterms:modified xsi:type="dcterms:W3CDTF">2024-12-26T06:53:23Z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5BC792917FA346C296AE05FA6639F95A_13</vt:lpwstr>
  </property>
  <property fmtid="{D5CDD505-2E9C-101B-9397-08002B2CF9AE}" pid="4" name="KSOTemplateDocerSaveRecord">
    <vt:lpwstr>eyJoZGlkIjoiOWRjYWY3MTlhZjUzNThkZDIzZGYyOGQzYWM4MDI4OWYiLCJ1c2VySWQiOiI1Mzg5NzQ4NzcifQ==</vt:lpwstr>
  </property>
</Properties>
</file>